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C2" w:rsidRDefault="00655CC2" w:rsidP="00655CC2">
      <w:pPr>
        <w:pStyle w:val="Bezodstpw"/>
        <w:jc w:val="right"/>
        <w:rPr>
          <w:rFonts w:cs="Calibri"/>
          <w:i/>
          <w:sz w:val="20"/>
          <w:szCs w:val="20"/>
        </w:rPr>
      </w:pPr>
      <w:r>
        <w:rPr>
          <w:rFonts w:cs="Calibri"/>
          <w:i/>
          <w:sz w:val="20"/>
          <w:szCs w:val="20"/>
        </w:rPr>
        <w:t xml:space="preserve">                                                                                  </w:t>
      </w:r>
      <w:r w:rsidR="00D27BC2">
        <w:rPr>
          <w:rFonts w:cs="Calibri"/>
          <w:i/>
          <w:sz w:val="20"/>
          <w:szCs w:val="20"/>
        </w:rPr>
        <w:t xml:space="preserve">    </w:t>
      </w:r>
      <w:r>
        <w:rPr>
          <w:rFonts w:cs="Calibri"/>
          <w:i/>
          <w:sz w:val="20"/>
          <w:szCs w:val="20"/>
        </w:rPr>
        <w:t xml:space="preserve">Załącznik Nr 2 do </w:t>
      </w:r>
      <w:r w:rsidR="00CE303F">
        <w:rPr>
          <w:rFonts w:cs="Calibri"/>
          <w:i/>
          <w:sz w:val="20"/>
          <w:szCs w:val="20"/>
        </w:rPr>
        <w:t xml:space="preserve"> projektu </w:t>
      </w:r>
      <w:r w:rsidR="00E31DB0">
        <w:rPr>
          <w:rFonts w:cs="Calibri"/>
          <w:i/>
          <w:sz w:val="20"/>
          <w:szCs w:val="20"/>
        </w:rPr>
        <w:t xml:space="preserve"> uchwały Nr  </w:t>
      </w:r>
    </w:p>
    <w:p w:rsidR="00655CC2" w:rsidRDefault="00655CC2" w:rsidP="00655CC2">
      <w:pPr>
        <w:jc w:val="right"/>
        <w:rPr>
          <w:rFonts w:ascii="Calibri" w:hAnsi="Calibri" w:cs="Calibri"/>
          <w:i/>
          <w:sz w:val="20"/>
          <w:szCs w:val="20"/>
        </w:rPr>
      </w:pPr>
      <w:r>
        <w:rPr>
          <w:rFonts w:ascii="Calibri" w:hAnsi="Calibri" w:cs="Calibri"/>
          <w:i/>
          <w:sz w:val="20"/>
          <w:szCs w:val="20"/>
        </w:rPr>
        <w:t xml:space="preserve">                                                                                                  </w:t>
      </w:r>
      <w:r w:rsidR="00D27BC2">
        <w:rPr>
          <w:rFonts w:ascii="Calibri" w:hAnsi="Calibri" w:cs="Calibri"/>
          <w:i/>
          <w:sz w:val="20"/>
          <w:szCs w:val="20"/>
        </w:rPr>
        <w:t xml:space="preserve">   </w:t>
      </w:r>
      <w:r>
        <w:rPr>
          <w:rFonts w:ascii="Calibri" w:hAnsi="Calibri" w:cs="Calibri"/>
          <w:i/>
          <w:sz w:val="20"/>
          <w:szCs w:val="20"/>
        </w:rPr>
        <w:t xml:space="preserve">  Rady Gminy Ko</w:t>
      </w:r>
      <w:r w:rsidR="00E31DB0">
        <w:rPr>
          <w:rFonts w:ascii="Calibri" w:hAnsi="Calibri" w:cs="Calibri"/>
          <w:i/>
          <w:sz w:val="20"/>
          <w:szCs w:val="20"/>
        </w:rPr>
        <w:t xml:space="preserve">bylanka z  dnia </w:t>
      </w:r>
      <w:r>
        <w:rPr>
          <w:rFonts w:ascii="Calibri" w:hAnsi="Calibri" w:cs="Calibri"/>
          <w:i/>
          <w:sz w:val="20"/>
          <w:szCs w:val="20"/>
        </w:rPr>
        <w:t xml:space="preserve"> r.</w:t>
      </w:r>
    </w:p>
    <w:p w:rsidR="00655CC2" w:rsidRDefault="00655CC2" w:rsidP="00655CC2">
      <w:pPr>
        <w:jc w:val="right"/>
        <w:rPr>
          <w:rFonts w:ascii="Times New Roman" w:hAnsi="Times New Roman" w:cs="Times New Roman"/>
          <w:b/>
          <w:sz w:val="24"/>
          <w:szCs w:val="24"/>
        </w:rPr>
      </w:pPr>
    </w:p>
    <w:p w:rsidR="00655CC2" w:rsidRDefault="00655CC2" w:rsidP="00655CC2">
      <w:pPr>
        <w:jc w:val="center"/>
        <w:rPr>
          <w:rFonts w:ascii="Calibri" w:hAnsi="Calibri" w:cs="Calibri"/>
          <w:b/>
        </w:rPr>
      </w:pPr>
    </w:p>
    <w:p w:rsidR="00655CC2" w:rsidRDefault="00655CC2" w:rsidP="00655CC2">
      <w:pPr>
        <w:jc w:val="center"/>
        <w:rPr>
          <w:rFonts w:ascii="Calibri" w:hAnsi="Calibri" w:cs="Calibri"/>
          <w:b/>
          <w:bCs/>
          <w:color w:val="000000"/>
        </w:rPr>
      </w:pPr>
      <w:r>
        <w:rPr>
          <w:rFonts w:ascii="Calibri" w:hAnsi="Calibri" w:cs="Calibri"/>
          <w:b/>
        </w:rPr>
        <w:t>Objaśnienia</w:t>
      </w:r>
      <w:r>
        <w:rPr>
          <w:rFonts w:ascii="Calibri" w:hAnsi="Calibri" w:cs="Calibri"/>
          <w:b/>
          <w:bCs/>
          <w:color w:val="000000"/>
        </w:rPr>
        <w:t xml:space="preserve"> wartości przyjętych w wieloletniej prognozie finansowej</w:t>
      </w:r>
    </w:p>
    <w:p w:rsidR="00655CC2" w:rsidRDefault="00655CC2" w:rsidP="00655CC2">
      <w:pPr>
        <w:spacing w:after="240"/>
        <w:jc w:val="center"/>
        <w:rPr>
          <w:rFonts w:ascii="Calibri" w:hAnsi="Calibri" w:cs="Calibri"/>
          <w:b/>
        </w:rPr>
      </w:pPr>
      <w:r>
        <w:rPr>
          <w:rFonts w:ascii="Calibri" w:hAnsi="Calibri" w:cs="Calibri"/>
          <w:b/>
        </w:rPr>
        <w:t>Gminy Kobylanka na lata 2015 – 2025</w:t>
      </w:r>
    </w:p>
    <w:p w:rsidR="00785836" w:rsidRDefault="00655CC2" w:rsidP="00655CC2">
      <w:pPr>
        <w:spacing w:after="240"/>
        <w:ind w:firstLine="360"/>
        <w:jc w:val="both"/>
        <w:rPr>
          <w:rFonts w:ascii="Calibri" w:hAnsi="Calibri" w:cs="Calibri"/>
        </w:rPr>
      </w:pPr>
      <w:r>
        <w:rPr>
          <w:rFonts w:ascii="Calibri" w:hAnsi="Calibri" w:cs="Calibri"/>
        </w:rPr>
        <w:t>Wieloletnia prognoza finansowa Gminy Kobylanka przedstawia perspektywę finansową, możliwości inwestycyjne i ocenę zdolności kredytowej Gminy w przyszłych latach na podstawie planowanych wielkości dochodów i wydatków budżetu gminy, wykazu przedsięwzięć i prognozy długu JST.</w:t>
      </w:r>
    </w:p>
    <w:p w:rsidR="00655CC2" w:rsidRPr="00302A2E" w:rsidRDefault="00655CC2" w:rsidP="00655CC2">
      <w:pPr>
        <w:spacing w:after="240"/>
        <w:ind w:firstLine="360"/>
        <w:jc w:val="both"/>
        <w:rPr>
          <w:rFonts w:cs="Arial"/>
        </w:rPr>
      </w:pPr>
      <w:r w:rsidRPr="00302A2E">
        <w:rPr>
          <w:rFonts w:cs="Arial"/>
        </w:rPr>
        <w:t xml:space="preserve"> </w:t>
      </w:r>
      <w:r w:rsidR="00785836" w:rsidRPr="00302A2E">
        <w:rPr>
          <w:rFonts w:cs="Arial"/>
        </w:rPr>
        <w:t>J</w:t>
      </w:r>
      <w:r w:rsidR="00785836" w:rsidRPr="00302A2E">
        <w:rPr>
          <w:rFonts w:cs="Arial"/>
          <w:szCs w:val="20"/>
        </w:rPr>
        <w:t>ak wskazują przepisy ustawy</w:t>
      </w:r>
      <w:r w:rsidR="00D27BC2">
        <w:rPr>
          <w:rFonts w:cs="Arial"/>
          <w:szCs w:val="20"/>
        </w:rPr>
        <w:t xml:space="preserve"> o finansach publicznych</w:t>
      </w:r>
      <w:r w:rsidR="00785836" w:rsidRPr="00302A2E">
        <w:rPr>
          <w:rFonts w:cs="Arial"/>
          <w:szCs w:val="20"/>
        </w:rPr>
        <w:t xml:space="preserve">, organ stanowiący jednostki samorządu terytorialnego może uchwalić wieloletnią prognozę finansową oraz budżet jednostki, które nie zachowują relacji określonej w art. 242–244 </w:t>
      </w:r>
      <w:r w:rsidR="00CE303F">
        <w:rPr>
          <w:rFonts w:cs="Arial"/>
          <w:szCs w:val="20"/>
        </w:rPr>
        <w:t xml:space="preserve"> </w:t>
      </w:r>
      <w:r w:rsidR="00785836" w:rsidRPr="00302A2E">
        <w:rPr>
          <w:rFonts w:cs="Arial"/>
          <w:szCs w:val="20"/>
        </w:rPr>
        <w:t>w okresie realizacji programu postępowania</w:t>
      </w:r>
      <w:r w:rsidR="000B10D0">
        <w:rPr>
          <w:rFonts w:cs="Arial"/>
          <w:szCs w:val="20"/>
        </w:rPr>
        <w:t xml:space="preserve"> naprawczego.</w:t>
      </w:r>
    </w:p>
    <w:p w:rsidR="000D75D7" w:rsidRDefault="00655CC2" w:rsidP="00302A2E">
      <w:pPr>
        <w:ind w:firstLine="360"/>
        <w:jc w:val="both"/>
        <w:rPr>
          <w:rFonts w:cs="Arial"/>
        </w:rPr>
      </w:pPr>
      <w:r w:rsidRPr="00AC14B3">
        <w:rPr>
          <w:rFonts w:cs="Arial"/>
        </w:rPr>
        <w:t xml:space="preserve">W związku z niezachowaniem wskaźnika obsługi zadłużenia, o którym mowa </w:t>
      </w:r>
      <w:r>
        <w:rPr>
          <w:rFonts w:cs="Arial"/>
        </w:rPr>
        <w:br/>
      </w:r>
      <w:r w:rsidRPr="00AC14B3">
        <w:rPr>
          <w:rFonts w:cs="Arial"/>
        </w:rPr>
        <w:t xml:space="preserve">w art. 243 ustawy o finansach publicznych przez Gminę </w:t>
      </w:r>
      <w:r>
        <w:rPr>
          <w:rFonts w:cs="Arial"/>
        </w:rPr>
        <w:t xml:space="preserve">Kobylanka w 2015 roku oraz ryzykiem wystąpienia niedoboru środków pieniężnych na koniec 2014 roku </w:t>
      </w:r>
      <w:r w:rsidRPr="00501875">
        <w:rPr>
          <w:rFonts w:cs="Arial"/>
        </w:rPr>
        <w:t xml:space="preserve">wystąpiła potrzeba </w:t>
      </w:r>
      <w:r>
        <w:rPr>
          <w:rFonts w:cs="Arial"/>
        </w:rPr>
        <w:t xml:space="preserve">wdrożenia </w:t>
      </w:r>
      <w:r w:rsidRPr="00501875">
        <w:rPr>
          <w:rFonts w:cs="Arial"/>
        </w:rPr>
        <w:t xml:space="preserve">programu postępowania naprawczego. </w:t>
      </w:r>
      <w:r w:rsidRPr="008E5F6F">
        <w:rPr>
          <w:rFonts w:cs="Arial"/>
        </w:rPr>
        <w:t xml:space="preserve">W programie zawarto kompleksową analizę dochodów, wydatków oraz zadłużenia </w:t>
      </w:r>
      <w:r>
        <w:rPr>
          <w:rFonts w:cs="Arial"/>
        </w:rPr>
        <w:t>Gminy</w:t>
      </w:r>
      <w:r w:rsidRPr="008E5F6F">
        <w:rPr>
          <w:rFonts w:cs="Arial"/>
        </w:rPr>
        <w:t>, na podstawie której przygotowano plan przedsięwzięć naprawczych wraz z harmonogramem ich wprowadzania.</w:t>
      </w:r>
      <w:r w:rsidR="000D75D7" w:rsidRPr="000D75D7">
        <w:rPr>
          <w:rFonts w:cs="Arial"/>
        </w:rPr>
        <w:t xml:space="preserve"> </w:t>
      </w:r>
      <w:r w:rsidR="000D75D7" w:rsidRPr="001E4CEE">
        <w:rPr>
          <w:rFonts w:cs="Arial"/>
        </w:rPr>
        <w:t>W ramach programu postępowania n</w:t>
      </w:r>
      <w:r w:rsidR="000D75D7">
        <w:rPr>
          <w:rFonts w:cs="Arial"/>
        </w:rPr>
        <w:t>aprawczego wskazano</w:t>
      </w:r>
      <w:r w:rsidR="000D75D7" w:rsidRPr="001E4CEE">
        <w:rPr>
          <w:rFonts w:cs="Arial"/>
        </w:rPr>
        <w:t xml:space="preserve"> szereg działań, których realizacja ma przyczynić się do poprawy kondycji finansowej </w:t>
      </w:r>
      <w:r w:rsidR="000D75D7">
        <w:rPr>
          <w:rFonts w:cs="Arial"/>
        </w:rPr>
        <w:t>Gminy</w:t>
      </w:r>
      <w:r w:rsidR="000D75D7" w:rsidRPr="001E4CEE">
        <w:rPr>
          <w:rFonts w:cs="Arial"/>
        </w:rPr>
        <w:t xml:space="preserve">. Większość działań z reguły skupia się na ograniczeniu wydatków bieżących ponoszonych przez </w:t>
      </w:r>
      <w:r w:rsidR="000D75D7">
        <w:rPr>
          <w:rFonts w:cs="Arial"/>
        </w:rPr>
        <w:t>Gminę</w:t>
      </w:r>
      <w:r w:rsidR="000D75D7" w:rsidRPr="001E4CEE">
        <w:rPr>
          <w:rFonts w:cs="Arial"/>
        </w:rPr>
        <w:t xml:space="preserve">, ze względu na stosunkowo najmniejsze problemy w zakresie ich kształtowania. </w:t>
      </w:r>
      <w:r w:rsidR="000D75D7">
        <w:rPr>
          <w:rFonts w:cs="Arial"/>
        </w:rPr>
        <w:t>Brak</w:t>
      </w:r>
      <w:r w:rsidR="000D75D7" w:rsidRPr="001E4CEE">
        <w:rPr>
          <w:rFonts w:cs="Arial"/>
        </w:rPr>
        <w:t xml:space="preserve"> działań naprawczych po stronie dochodów</w:t>
      </w:r>
      <w:r w:rsidR="000D75D7">
        <w:rPr>
          <w:rFonts w:cs="Arial"/>
        </w:rPr>
        <w:t xml:space="preserve">, </w:t>
      </w:r>
      <w:r w:rsidR="000D75D7" w:rsidRPr="001E4CEE">
        <w:rPr>
          <w:rFonts w:cs="Arial"/>
        </w:rPr>
        <w:t>wynika z</w:t>
      </w:r>
      <w:r w:rsidR="000D75D7">
        <w:rPr>
          <w:rFonts w:cs="Arial"/>
        </w:rPr>
        <w:t xml:space="preserve"> faktu właściwego wykorzystania przez Gminę instrumentu finansowego jakim są lokalne podatki i opłaty</w:t>
      </w:r>
      <w:r w:rsidR="000D75D7" w:rsidRPr="001E4CEE">
        <w:rPr>
          <w:rFonts w:cs="Arial"/>
        </w:rPr>
        <w:t>.</w:t>
      </w:r>
    </w:p>
    <w:p w:rsidR="000D75D7" w:rsidRPr="000D75D7" w:rsidRDefault="00655CC2" w:rsidP="00302A2E">
      <w:pPr>
        <w:tabs>
          <w:tab w:val="left" w:pos="1753"/>
        </w:tabs>
        <w:jc w:val="both"/>
        <w:rPr>
          <w:rFonts w:cs="Arial"/>
          <w:color w:val="FF0000"/>
          <w:szCs w:val="20"/>
        </w:rPr>
      </w:pPr>
      <w:r>
        <w:rPr>
          <w:rFonts w:ascii="Calibri" w:hAnsi="Calibri" w:cs="Calibri"/>
        </w:rPr>
        <w:t>Wieloletnia prognoza finansowa Gminy Kobylanka na lata 201</w:t>
      </w:r>
      <w:r w:rsidR="000B10D0">
        <w:rPr>
          <w:rFonts w:ascii="Calibri" w:hAnsi="Calibri" w:cs="Calibri"/>
        </w:rPr>
        <w:t>5-2025</w:t>
      </w:r>
      <w:r>
        <w:rPr>
          <w:rFonts w:ascii="Calibri" w:hAnsi="Calibri" w:cs="Calibri"/>
        </w:rPr>
        <w:t xml:space="preserve"> z</w:t>
      </w:r>
      <w:r w:rsidR="000B10D0">
        <w:rPr>
          <w:rFonts w:ascii="Calibri" w:hAnsi="Calibri" w:cs="Calibri"/>
        </w:rPr>
        <w:t xml:space="preserve">ostała opracowana </w:t>
      </w:r>
      <w:r>
        <w:rPr>
          <w:rFonts w:ascii="Calibri" w:hAnsi="Calibri" w:cs="Calibri"/>
        </w:rPr>
        <w:t xml:space="preserve">( zgodnie z art.227 </w:t>
      </w:r>
      <w:proofErr w:type="spellStart"/>
      <w:r>
        <w:rPr>
          <w:rFonts w:ascii="Calibri" w:hAnsi="Calibri" w:cs="Calibri"/>
        </w:rPr>
        <w:t>ufp</w:t>
      </w:r>
      <w:proofErr w:type="spellEnd"/>
      <w:r>
        <w:rPr>
          <w:rFonts w:ascii="Calibri" w:hAnsi="Calibri" w:cs="Calibri"/>
        </w:rPr>
        <w:t>) na okres 11 lat</w:t>
      </w:r>
      <w:r w:rsidR="000D75D7">
        <w:rPr>
          <w:rFonts w:ascii="Calibri" w:hAnsi="Calibri" w:cs="Calibri"/>
        </w:rPr>
        <w:t xml:space="preserve"> i odzwierciedla założenia przyjęte w programie naprawczym.</w:t>
      </w:r>
      <w:r w:rsidR="000D75D7">
        <w:rPr>
          <w:rFonts w:cs="Arial"/>
        </w:rPr>
        <w:t xml:space="preserve"> Kształt wieloletniej prognozy finansowej Gminy Kobylanka po wdrożeniu programu postępowania naprawczego uwzględnia pozycje budżetowe dostosowane do potrzeb Gminy w 2015 roku (zawarte w projekcie budżetu Gminy na 2015 rok), a od 2016 roku prognozy makroekonomiczne wynikające z przeprowadzonych wyliczeń</w:t>
      </w:r>
      <w:r w:rsidR="00785836">
        <w:rPr>
          <w:rFonts w:cs="Arial"/>
        </w:rPr>
        <w:t>.</w:t>
      </w:r>
      <w:r w:rsidR="000B10D0">
        <w:rPr>
          <w:rFonts w:cs="Arial"/>
        </w:rPr>
        <w:t xml:space="preserve">  </w:t>
      </w:r>
    </w:p>
    <w:p w:rsidR="000D75D7" w:rsidRDefault="000D75D7" w:rsidP="00302A2E">
      <w:pPr>
        <w:jc w:val="both"/>
        <w:rPr>
          <w:rFonts w:cs="Arial"/>
        </w:rPr>
      </w:pPr>
      <w:r w:rsidRPr="00627C98">
        <w:rPr>
          <w:rFonts w:cs="Arial"/>
        </w:rPr>
        <w:t>Pozycje budżetowe uwzględniające prognozy wskaźników makroekonomicznych wg przyjętej metodologii oraz zmiany jakie nastąpiły na skutek podjęcia działań naprawczych wskazują na wyraźny spadek wartości ponoszonych wydatkó</w:t>
      </w:r>
      <w:r>
        <w:rPr>
          <w:rFonts w:cs="Arial"/>
        </w:rPr>
        <w:t>w bieżących w 2015 roku</w:t>
      </w:r>
      <w:r w:rsidRPr="00627C98">
        <w:rPr>
          <w:rFonts w:cs="Arial"/>
        </w:rPr>
        <w:t xml:space="preserve">, co z kolei oddziałuje na spełnienie relacji w roku 2016. </w:t>
      </w:r>
      <w:r w:rsidR="000B10D0">
        <w:rPr>
          <w:rFonts w:cs="Arial"/>
        </w:rPr>
        <w:t xml:space="preserve">      </w:t>
      </w:r>
      <w:r w:rsidRPr="00627C98">
        <w:rPr>
          <w:rFonts w:cs="Arial"/>
        </w:rPr>
        <w:lastRenderedPageBreak/>
        <w:t>Z dużą dozą ostrożności zaplanowano poziom d</w:t>
      </w:r>
      <w:r>
        <w:rPr>
          <w:rFonts w:cs="Arial"/>
        </w:rPr>
        <w:t xml:space="preserve">ochodów, zwłaszcza dochodów ze sprzedaży majątku. </w:t>
      </w:r>
    </w:p>
    <w:p w:rsidR="000D75D7" w:rsidRDefault="000D75D7" w:rsidP="00302A2E">
      <w:pPr>
        <w:jc w:val="both"/>
        <w:rPr>
          <w:rFonts w:cs="Arial"/>
        </w:rPr>
      </w:pPr>
      <w:r>
        <w:rPr>
          <w:rFonts w:cs="Arial"/>
        </w:rPr>
        <w:t xml:space="preserve">Dochody bieżące w 2015 roku zaplanowano ostatecznie na poziomie wyższym niż ten, który wynika z prognozy makroekonomicznej. Na zwiększenie dochodów wpływają przede wszystkim dochody z tytułu udziału Gminy w podatku dochodowym od osób fizycznych (PIT), które wg danych Ministra Finansów będą kształtować się na poziomie 3,9 mln zł. </w:t>
      </w:r>
    </w:p>
    <w:p w:rsidR="000D75D7" w:rsidRDefault="000D75D7" w:rsidP="00302A2E">
      <w:pPr>
        <w:jc w:val="both"/>
        <w:rPr>
          <w:rFonts w:cs="Arial"/>
        </w:rPr>
      </w:pPr>
      <w:r>
        <w:rPr>
          <w:rFonts w:cs="Arial"/>
        </w:rPr>
        <w:t>Kwoty wydatków bieżących zostały ściśle dostosowane do możliwości Gminy oraz zawartych umów, kontraktów i zleceń. Konieczność realizacji określonych działań powoduje ograniczenie elastyczności i swobody w zakresie dokonywanych cięć. Uwzględniając jednak zalecenia zawarte w programie postępowania naprawczego, kwoty wydatków bieżących w 2015 roku zaplanowano na poziomie niższym o ok. 2,6 mln w stosunku do przewidywanego wykonania wydatków w 2014 roku oraz o ok. 900 tys. zł niższym w stosunku do prognozowanej wartości tych wydatków przed wdrożeniem działań naprawczych.</w:t>
      </w:r>
    </w:p>
    <w:p w:rsidR="000D75D7" w:rsidRDefault="000D75D7" w:rsidP="00E31DB0">
      <w:pPr>
        <w:jc w:val="both"/>
        <w:rPr>
          <w:rFonts w:cs="Arial"/>
        </w:rPr>
      </w:pPr>
      <w:r>
        <w:rPr>
          <w:rFonts w:cs="Arial"/>
        </w:rPr>
        <w:t>Na wyższym poziomie zaplanowano wydatki majątkowe</w:t>
      </w:r>
      <w:r w:rsidR="00E31DB0">
        <w:rPr>
          <w:rFonts w:cs="Arial"/>
        </w:rPr>
        <w:t xml:space="preserve"> w 2015 roku</w:t>
      </w:r>
      <w:r>
        <w:rPr>
          <w:rFonts w:cs="Arial"/>
        </w:rPr>
        <w:t>, których wysokość uzależniona jest przede wszystkim od konieczności realizacji rozpoczętych już wieloletnich przedsięwzięć inwestycyjnych. Zgodnie z art. 243 ustawy ich wysokość nie wpływa na wskaźnik obsługi zadłużenia.</w:t>
      </w:r>
    </w:p>
    <w:p w:rsidR="00106796" w:rsidRPr="00E31DB0" w:rsidRDefault="00106796" w:rsidP="00E31DB0">
      <w:pPr>
        <w:tabs>
          <w:tab w:val="left" w:pos="1110"/>
        </w:tabs>
        <w:jc w:val="both"/>
        <w:rPr>
          <w:rFonts w:cs="Arial"/>
          <w:szCs w:val="20"/>
        </w:rPr>
      </w:pPr>
      <w:r>
        <w:rPr>
          <w:rFonts w:cs="Arial"/>
          <w:szCs w:val="20"/>
        </w:rPr>
        <w:t xml:space="preserve">Kształt Wieloletniej Prognozy Finansowej Gminy Kobylanka wymusił konieczność zrezygnowania z części zaplanowanych na lata 2016-2022 wieloletnich przedsięwzięć inwestycyjnych. W okresie obowiązywania programu naprawczego Gmina nie będzie mogła realizować nowych inwestycji finansowanych kredytem, a przeznaczenie generowanych dochodów własnych w większości na pokrycie wydatków bieżących będzie powodować brak środków na inwestycje. </w:t>
      </w:r>
    </w:p>
    <w:p w:rsidR="00106796" w:rsidRDefault="00334412" w:rsidP="00106796">
      <w:pPr>
        <w:widowControl w:val="0"/>
        <w:suppressAutoHyphens/>
        <w:spacing w:after="240"/>
        <w:jc w:val="both"/>
        <w:rPr>
          <w:rFonts w:ascii="Calibri" w:hAnsi="Calibri" w:cs="Calibri"/>
        </w:rPr>
      </w:pPr>
      <w:r w:rsidRPr="00785836">
        <w:rPr>
          <w:rFonts w:cs="Arial"/>
          <w:bCs/>
          <w:iCs/>
          <w:color w:val="171717"/>
          <w:lang w:eastAsia="en-US"/>
        </w:rPr>
        <w:t>W celu zapewnienia Gminie właściwej płynności finansowej, która pozwoli na ter</w:t>
      </w:r>
      <w:r w:rsidR="00302A2E">
        <w:rPr>
          <w:rFonts w:cs="Arial"/>
          <w:bCs/>
          <w:iCs/>
          <w:color w:val="171717"/>
          <w:lang w:eastAsia="en-US"/>
        </w:rPr>
        <w:t xml:space="preserve">minowe regulowanie </w:t>
      </w:r>
      <w:r w:rsidRPr="00785836">
        <w:rPr>
          <w:rFonts w:cs="Arial"/>
          <w:bCs/>
          <w:iCs/>
          <w:color w:val="171717"/>
          <w:lang w:eastAsia="en-US"/>
        </w:rPr>
        <w:t>zobowiązań i zapewni właściwą realizację zadań publicznych, w ramach d</w:t>
      </w:r>
      <w:r w:rsidR="00785836">
        <w:rPr>
          <w:rFonts w:cs="Arial"/>
          <w:bCs/>
          <w:iCs/>
          <w:color w:val="171717"/>
          <w:lang w:eastAsia="en-US"/>
        </w:rPr>
        <w:t>ziałań naprawczych podjęto</w:t>
      </w:r>
      <w:r w:rsidRPr="00785836">
        <w:rPr>
          <w:rFonts w:cs="Arial"/>
          <w:bCs/>
          <w:iCs/>
          <w:color w:val="171717"/>
          <w:lang w:eastAsia="en-US"/>
        </w:rPr>
        <w:t xml:space="preserve"> decyzję o dokonaniu restrukturyzacji zadłużenia Gminy.</w:t>
      </w:r>
      <w:r w:rsidR="00785836" w:rsidRPr="00785836">
        <w:t xml:space="preserve"> </w:t>
      </w:r>
      <w:r w:rsidR="00785836">
        <w:t>K</w:t>
      </w:r>
      <w:r w:rsidR="00785836" w:rsidRPr="00785836">
        <w:t>redyt pozyskany w wyniku restrukturyzacji zadłużenia Gminy przeznaczony zostanie na dwa cele. Pierwszym z nich będzie spłata wcześniej zaciągniętych zobowiązań, zaś drugim pokrycie niedoboru środków pieniężnych. Łączna wartość zaciągniętego kredytu powinna kształtować się na poziomie co najmniej 5,5 mln zł. Uwzględniając jednak fakt poniesienia dodatkowych kosztów związanych z renegocjacją umów kredytowych czy wypłatą prowizji dla kredytodawców zakłada się, że całkowita kwota nowo zaciągniętego kredytu</w:t>
      </w:r>
      <w:r w:rsidR="00302A2E">
        <w:t xml:space="preserve"> wyniesie</w:t>
      </w:r>
      <w:r w:rsidR="00785836" w:rsidRPr="00785836">
        <w:t xml:space="preserve"> 5 700 000 zł. </w:t>
      </w:r>
      <w:r w:rsidR="00785836" w:rsidRPr="00302A2E">
        <w:t>Założono, że wysokość oprocentowania będzie kształtować się na poziomie 4,0%. W latach 2018-2020 planuje się</w:t>
      </w:r>
      <w:r w:rsidR="00302A2E">
        <w:t xml:space="preserve"> najmniejsze obciążenie budżetu w </w:t>
      </w:r>
      <w:r w:rsidR="00785836" w:rsidRPr="00302A2E">
        <w:t xml:space="preserve">związku </w:t>
      </w:r>
      <w:r w:rsidR="00302A2E">
        <w:t xml:space="preserve"> </w:t>
      </w:r>
      <w:r w:rsidR="00785836" w:rsidRPr="00302A2E">
        <w:t>z spłatą rat kapitałowych. Całkowity okres spłaty zobowiązania obowiązuje do 2025 roku.</w:t>
      </w:r>
      <w:r w:rsidR="00106796">
        <w:t xml:space="preserve"> Przyjęte w wieloletniej prognozie wartości rozchodów wynikają</w:t>
      </w:r>
      <w:r w:rsidR="00106796" w:rsidRPr="00106796">
        <w:rPr>
          <w:rFonts w:ascii="Calibri" w:hAnsi="Calibri" w:cs="Calibri"/>
        </w:rPr>
        <w:t xml:space="preserve"> </w:t>
      </w:r>
      <w:r w:rsidR="00106796">
        <w:rPr>
          <w:rFonts w:ascii="Calibri" w:hAnsi="Calibri" w:cs="Calibri"/>
        </w:rPr>
        <w:t>z obowiązujących harmonogramów spłat zobowiązań finansowych.</w:t>
      </w:r>
    </w:p>
    <w:p w:rsidR="00D27BC2" w:rsidRDefault="00D27BC2" w:rsidP="00D27BC2">
      <w:pPr>
        <w:rPr>
          <w:rFonts w:cs="Arial"/>
          <w:szCs w:val="20"/>
        </w:rPr>
      </w:pPr>
      <w:r>
        <w:rPr>
          <w:rFonts w:cs="Arial"/>
          <w:szCs w:val="20"/>
        </w:rPr>
        <w:lastRenderedPageBreak/>
        <w:t>Kształtowanie się relacji z art. 243 ustawy o finansach publicznych prezentuje rycina 11.</w:t>
      </w:r>
    </w:p>
    <w:p w:rsidR="00D27BC2" w:rsidRDefault="00D27BC2" w:rsidP="00D27BC2">
      <w:pPr>
        <w:pStyle w:val="Legenda"/>
        <w:keepNext/>
        <w:rPr>
          <w:noProof/>
          <w:lang w:eastAsia="pl-PL"/>
        </w:rPr>
      </w:pPr>
      <w:bookmarkStart w:id="0" w:name="_Toc404762045"/>
      <w:r w:rsidRPr="00947BC2">
        <w:rPr>
          <w:color w:val="auto"/>
        </w:rPr>
        <w:t xml:space="preserve">Ryc. </w:t>
      </w:r>
      <w:r w:rsidR="005E36AD">
        <w:rPr>
          <w:color w:val="auto"/>
        </w:rPr>
        <w:fldChar w:fldCharType="begin"/>
      </w:r>
      <w:r>
        <w:rPr>
          <w:color w:val="auto"/>
        </w:rPr>
        <w:instrText xml:space="preserve"> SEQ Ryc. \* ARABIC </w:instrText>
      </w:r>
      <w:r w:rsidR="005E36AD">
        <w:rPr>
          <w:color w:val="auto"/>
        </w:rPr>
        <w:fldChar w:fldCharType="separate"/>
      </w:r>
      <w:r w:rsidR="00FF29D5">
        <w:rPr>
          <w:noProof/>
          <w:color w:val="auto"/>
        </w:rPr>
        <w:t>1</w:t>
      </w:r>
      <w:r w:rsidR="005E36AD">
        <w:rPr>
          <w:color w:val="auto"/>
        </w:rPr>
        <w:fldChar w:fldCharType="end"/>
      </w:r>
      <w:r w:rsidRPr="00947BC2">
        <w:rPr>
          <w:color w:val="auto"/>
        </w:rPr>
        <w:t>. Kształtowanie się relacji z art. 243</w:t>
      </w:r>
      <w:bookmarkEnd w:id="0"/>
      <w:r w:rsidRPr="00F56A40">
        <w:rPr>
          <w:color w:val="auto"/>
        </w:rPr>
        <w:t xml:space="preserve"> </w:t>
      </w:r>
    </w:p>
    <w:p w:rsidR="00D27BC2" w:rsidRPr="006E56DB" w:rsidRDefault="00D27BC2" w:rsidP="00D27BC2">
      <w:pPr>
        <w:pStyle w:val="Legenda"/>
        <w:keepNext/>
      </w:pPr>
      <w:r>
        <w:rPr>
          <w:noProof/>
          <w:lang w:eastAsia="pl-PL"/>
        </w:rPr>
        <w:drawing>
          <wp:inline distT="0" distB="0" distL="0" distR="0">
            <wp:extent cx="4681981" cy="3047365"/>
            <wp:effectExtent l="0" t="0" r="2414" b="635"/>
            <wp:docPr id="1" name="Wykres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27BC2" w:rsidRDefault="00D27BC2" w:rsidP="00D27BC2">
      <w:pPr>
        <w:rPr>
          <w:rFonts w:eastAsia="Times New Roman" w:cs="Arial"/>
          <w:color w:val="0D0D0D"/>
          <w:sz w:val="16"/>
          <w:szCs w:val="16"/>
        </w:rPr>
      </w:pPr>
      <w:r>
        <w:rPr>
          <w:rFonts w:eastAsia="Times New Roman" w:cs="Arial"/>
          <w:color w:val="0D0D0D"/>
          <w:sz w:val="16"/>
          <w:szCs w:val="16"/>
        </w:rPr>
        <w:t>Źródło: Opracowanie własne.</w:t>
      </w:r>
    </w:p>
    <w:p w:rsidR="00D27BC2" w:rsidRDefault="00D27BC2" w:rsidP="00D27BC2">
      <w:pPr>
        <w:spacing w:before="100" w:beforeAutospacing="1" w:after="100" w:afterAutospacing="1"/>
        <w:jc w:val="both"/>
        <w:rPr>
          <w:rFonts w:cs="Arial"/>
          <w:szCs w:val="20"/>
        </w:rPr>
      </w:pPr>
      <w:r>
        <w:rPr>
          <w:rFonts w:cs="Arial"/>
          <w:szCs w:val="20"/>
        </w:rPr>
        <w:t>Jak wynika z analizy w Gminie Kobylanka niespełnienie wskaźnika</w:t>
      </w:r>
      <w:r w:rsidR="00937E6C">
        <w:rPr>
          <w:rFonts w:cs="Arial"/>
          <w:szCs w:val="20"/>
        </w:rPr>
        <w:t>,</w:t>
      </w:r>
      <w:r>
        <w:rPr>
          <w:rFonts w:cs="Arial"/>
          <w:szCs w:val="20"/>
        </w:rPr>
        <w:t xml:space="preserve"> o którym mowa w art. 243 ustawy o finansach publicznych nastąpiło w 2015 roku. Należy jednak zwrócić uwagę na fakt, że w 2020 roku występuje bardzo niewielki bufor bezpieczeństwa, w związku z czym pojawienie się trudnych do przewidzenia, niekorzystnych zdarzeń losowych może przyczynić się do niespełnienia tego wskaźnika również w kolejnych latach.</w:t>
      </w:r>
    </w:p>
    <w:p w:rsidR="00853E0D" w:rsidRPr="000D75D7" w:rsidRDefault="00853E0D" w:rsidP="00853E0D">
      <w:pPr>
        <w:tabs>
          <w:tab w:val="left" w:pos="1753"/>
        </w:tabs>
        <w:jc w:val="both"/>
        <w:rPr>
          <w:rFonts w:cs="Arial"/>
          <w:color w:val="FF0000"/>
          <w:szCs w:val="20"/>
        </w:rPr>
      </w:pPr>
      <w:r>
        <w:rPr>
          <w:rFonts w:cs="Arial"/>
        </w:rPr>
        <w:t>Szczegółowy sposób obliczenia wartości przyjętych w wieloletniej prognozie finansowej Gminy Kobylanka oraz efektów finansowych podjętych działań naprawczych zawiera opracowanie pn. Program Postępowania Naprawczego Gminy Kobylanka.</w:t>
      </w:r>
    </w:p>
    <w:p w:rsidR="00853E0D" w:rsidRPr="00853E0D" w:rsidRDefault="00853E0D" w:rsidP="00853E0D">
      <w:pPr>
        <w:rPr>
          <w:rFonts w:cs="Arial"/>
          <w:szCs w:val="20"/>
        </w:rPr>
        <w:sectPr w:rsidR="00853E0D" w:rsidRPr="00853E0D" w:rsidSect="00FA157A">
          <w:pgSz w:w="11906" w:h="16838"/>
          <w:pgMar w:top="1418" w:right="1985" w:bottom="1418" w:left="1985" w:header="709" w:footer="709" w:gutter="567"/>
          <w:cols w:space="708"/>
          <w:docGrid w:linePitch="360"/>
        </w:sectPr>
      </w:pPr>
    </w:p>
    <w:p w:rsidR="00655CC2" w:rsidRPr="000D75D7" w:rsidRDefault="00655CC2" w:rsidP="00853E0D">
      <w:pPr>
        <w:spacing w:after="240"/>
        <w:jc w:val="both"/>
        <w:rPr>
          <w:rFonts w:cs="Arial"/>
        </w:rPr>
      </w:pPr>
    </w:p>
    <w:sectPr w:rsidR="00655CC2" w:rsidRPr="000D75D7" w:rsidSect="00D27BC2">
      <w:pgSz w:w="11906" w:h="16838"/>
      <w:pgMar w:top="1418" w:right="1134" w:bottom="1418"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1A4"/>
    <w:multiLevelType w:val="hybridMultilevel"/>
    <w:tmpl w:val="3FA62EC2"/>
    <w:lvl w:ilvl="0" w:tplc="04150001">
      <w:start w:val="1"/>
      <w:numFmt w:val="bullet"/>
      <w:lvlText w:val=""/>
      <w:lvlJc w:val="left"/>
      <w:pPr>
        <w:ind w:left="15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7B967931"/>
    <w:multiLevelType w:val="hybridMultilevel"/>
    <w:tmpl w:val="D58CF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708"/>
  <w:hyphenationZone w:val="425"/>
  <w:characterSpacingControl w:val="doNotCompress"/>
  <w:compat>
    <w:useFELayout/>
  </w:compat>
  <w:rsids>
    <w:rsidRoot w:val="00655CC2"/>
    <w:rsid w:val="000B10D0"/>
    <w:rsid w:val="000D75D7"/>
    <w:rsid w:val="00106796"/>
    <w:rsid w:val="00302A2E"/>
    <w:rsid w:val="00334412"/>
    <w:rsid w:val="00472861"/>
    <w:rsid w:val="005E36AD"/>
    <w:rsid w:val="00655CC2"/>
    <w:rsid w:val="007723D3"/>
    <w:rsid w:val="00785836"/>
    <w:rsid w:val="00853E0D"/>
    <w:rsid w:val="00937E6C"/>
    <w:rsid w:val="00BB69B7"/>
    <w:rsid w:val="00CE303F"/>
    <w:rsid w:val="00D27459"/>
    <w:rsid w:val="00D27BC2"/>
    <w:rsid w:val="00E31DB0"/>
    <w:rsid w:val="00EB2C5A"/>
    <w:rsid w:val="00FF29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9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basedOn w:val="Domylnaczcionkaakapitu"/>
    <w:link w:val="Bezodstpw"/>
    <w:uiPriority w:val="1"/>
    <w:locked/>
    <w:rsid w:val="00655CC2"/>
    <w:rPr>
      <w:rFonts w:ascii="Calibri" w:hAnsi="Calibri"/>
      <w:lang w:eastAsia="en-US"/>
    </w:rPr>
  </w:style>
  <w:style w:type="paragraph" w:styleId="Bezodstpw">
    <w:name w:val="No Spacing"/>
    <w:link w:val="BezodstpwZnak"/>
    <w:uiPriority w:val="1"/>
    <w:qFormat/>
    <w:rsid w:val="00655CC2"/>
    <w:pPr>
      <w:spacing w:after="0" w:line="240" w:lineRule="auto"/>
    </w:pPr>
    <w:rPr>
      <w:rFonts w:ascii="Calibri" w:hAnsi="Calibri"/>
      <w:lang w:eastAsia="en-US"/>
    </w:rPr>
  </w:style>
  <w:style w:type="paragraph" w:styleId="Akapitzlist">
    <w:name w:val="List Paragraph"/>
    <w:basedOn w:val="Normalny"/>
    <w:uiPriority w:val="34"/>
    <w:qFormat/>
    <w:rsid w:val="00655CC2"/>
    <w:pPr>
      <w:widowControl w:val="0"/>
      <w:suppressAutoHyphens/>
      <w:spacing w:after="0" w:line="240" w:lineRule="auto"/>
      <w:ind w:left="708"/>
    </w:pPr>
    <w:rPr>
      <w:rFonts w:ascii="Times New Roman" w:eastAsia="Lucida Sans Unicode" w:hAnsi="Times New Roman" w:cs="Tahoma"/>
      <w:sz w:val="24"/>
      <w:szCs w:val="24"/>
      <w:lang w:eastAsia="en-US" w:bidi="en-US"/>
    </w:rPr>
  </w:style>
  <w:style w:type="paragraph" w:styleId="NormalnyWeb">
    <w:name w:val="Normal (Web)"/>
    <w:basedOn w:val="Normalny"/>
    <w:uiPriority w:val="99"/>
    <w:unhideWhenUsed/>
    <w:rsid w:val="00334412"/>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aliases w:val="Legenda-tabele/wykresy"/>
    <w:basedOn w:val="Normalny"/>
    <w:next w:val="Normalny"/>
    <w:uiPriority w:val="35"/>
    <w:unhideWhenUsed/>
    <w:qFormat/>
    <w:rsid w:val="00D27BC2"/>
    <w:pPr>
      <w:spacing w:line="240" w:lineRule="auto"/>
      <w:jc w:val="both"/>
    </w:pPr>
    <w:rPr>
      <w:rFonts w:ascii="Arial" w:eastAsia="Arial" w:hAnsi="Arial" w:cs="Times New Roman"/>
      <w:b/>
      <w:bCs/>
      <w:color w:val="5B9BD5"/>
      <w:sz w:val="18"/>
      <w:szCs w:val="18"/>
      <w:lang w:eastAsia="en-US"/>
    </w:rPr>
  </w:style>
  <w:style w:type="paragraph" w:styleId="Tekstdymka">
    <w:name w:val="Balloon Text"/>
    <w:basedOn w:val="Normalny"/>
    <w:link w:val="TekstdymkaZnak"/>
    <w:uiPriority w:val="99"/>
    <w:semiHidden/>
    <w:unhideWhenUsed/>
    <w:rsid w:val="00D27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7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94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SRV-POZ2\Eko\Uslugi\kobylanka_program_naprawczy_u18_2014\robocze\20141104\20141104_ppn_3kw_pl_zarzadz_uchwal.xlsm"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18"/>
  <c:clrMapOvr bg1="lt1" tx1="dk1" bg2="lt2" tx2="dk2" accent1="accent1" accent2="accent2" accent3="accent3" accent4="accent4" accent5="accent5" accent6="accent6" hlink="hlink" folHlink="folHlink"/>
  <c:chart>
    <c:plotArea>
      <c:layout/>
      <c:barChart>
        <c:barDir val="col"/>
        <c:grouping val="stacked"/>
        <c:ser>
          <c:idx val="0"/>
          <c:order val="0"/>
          <c:tx>
            <c:v>Faktyczna obsługa zadłużenia</c:v>
          </c:tx>
          <c:spPr>
            <a:pattFill prst="pct80">
              <a:fgClr>
                <a:srgbClr val="4472C4">
                  <a:lumMod val="50000"/>
                </a:srgbClr>
              </a:fgClr>
              <a:bgClr>
                <a:srgbClr val="FFFFFF"/>
              </a:bgClr>
            </a:pattFill>
            <a:ln>
              <a:solidFill>
                <a:srgbClr val="4472C4">
                  <a:lumMod val="50000"/>
                </a:srgbClr>
              </a:solidFill>
            </a:ln>
          </c:spPr>
          <c:cat>
            <c:numRef>
              <c:f>data!$F$2:$R$2</c:f>
              <c:numCache>
                <c:formatCode>General</c:formatCode>
                <c:ptCount val="13"/>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numCache>
            </c:numRef>
          </c:cat>
          <c:val>
            <c:numRef>
              <c:f>data!$F$33:$P$33</c:f>
              <c:numCache>
                <c:formatCode>#,##0_ ;[Red]\-#,##0\ </c:formatCode>
                <c:ptCount val="11"/>
                <c:pt idx="0">
                  <c:v>0.10817622057242467</c:v>
                </c:pt>
                <c:pt idx="1">
                  <c:v>9.1764255274158546E-2</c:v>
                </c:pt>
                <c:pt idx="2">
                  <c:v>0.13638917767753683</c:v>
                </c:pt>
                <c:pt idx="3">
                  <c:v>0.13112016626140202</c:v>
                </c:pt>
                <c:pt idx="4">
                  <c:v>0.12401640564103816</c:v>
                </c:pt>
                <c:pt idx="5">
                  <c:v>0.12054831244436291</c:v>
                </c:pt>
                <c:pt idx="6">
                  <c:v>0.11946280934088249</c:v>
                </c:pt>
                <c:pt idx="7">
                  <c:v>0.10703229913003122</c:v>
                </c:pt>
                <c:pt idx="8">
                  <c:v>5.2416308400224931E-2</c:v>
                </c:pt>
                <c:pt idx="9">
                  <c:v>1.8299542499398025E-2</c:v>
                </c:pt>
                <c:pt idx="10">
                  <c:v>1.2877216981132074E-2</c:v>
                </c:pt>
              </c:numCache>
            </c:numRef>
          </c:val>
        </c:ser>
        <c:ser>
          <c:idx val="1"/>
          <c:order val="1"/>
          <c:tx>
            <c:v>Planowana obsługa zadłużenia</c:v>
          </c:tx>
          <c:spPr>
            <a:pattFill prst="wdDnDiag">
              <a:fgClr>
                <a:srgbClr val="000000"/>
              </a:fgClr>
              <a:bgClr>
                <a:srgbClr val="FFFFFF"/>
              </a:bgClr>
            </a:pattFill>
          </c:spPr>
          <c:cat>
            <c:numRef>
              <c:f>data!$F$2:$R$2</c:f>
              <c:numCache>
                <c:formatCode>General</c:formatCode>
                <c:ptCount val="13"/>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numCache>
            </c:numRef>
          </c:cat>
          <c:val>
            <c:numRef>
              <c:f>data!$F$23:$P$23</c:f>
              <c:numCache>
                <c:formatCode>0.00%</c:formatCode>
                <c:ptCount val="11"/>
                <c:pt idx="0">
                  <c:v>0</c:v>
                </c:pt>
                <c:pt idx="1">
                  <c:v>0</c:v>
                </c:pt>
                <c:pt idx="2">
                  <c:v>0</c:v>
                </c:pt>
                <c:pt idx="3">
                  <c:v>0</c:v>
                </c:pt>
                <c:pt idx="4">
                  <c:v>0</c:v>
                </c:pt>
                <c:pt idx="5">
                  <c:v>1.1938808514709874E-17</c:v>
                </c:pt>
                <c:pt idx="6">
                  <c:v>0</c:v>
                </c:pt>
                <c:pt idx="7">
                  <c:v>0</c:v>
                </c:pt>
                <c:pt idx="8">
                  <c:v>0</c:v>
                </c:pt>
                <c:pt idx="9">
                  <c:v>0</c:v>
                </c:pt>
                <c:pt idx="10">
                  <c:v>0</c:v>
                </c:pt>
              </c:numCache>
            </c:numRef>
          </c:val>
        </c:ser>
        <c:ser>
          <c:idx val="3"/>
          <c:order val="2"/>
          <c:tx>
            <c:v>Wyłączenia (z art.169/art.243)</c:v>
          </c:tx>
          <c:spPr>
            <a:pattFill prst="ltUpDiag">
              <a:fgClr>
                <a:srgbClr val="4472C4">
                  <a:lumMod val="75000"/>
                </a:srgbClr>
              </a:fgClr>
              <a:bgClr>
                <a:sysClr val="window" lastClr="FFFFFF"/>
              </a:bgClr>
            </a:pattFill>
            <a:ln>
              <a:solidFill>
                <a:srgbClr val="4472C4">
                  <a:lumMod val="50000"/>
                </a:srgbClr>
              </a:solidFill>
            </a:ln>
          </c:spPr>
          <c:cat>
            <c:numRef>
              <c:f>data!$F$2:$R$2</c:f>
              <c:numCache>
                <c:formatCode>General</c:formatCode>
                <c:ptCount val="13"/>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numCache>
            </c:numRef>
          </c:cat>
          <c:val>
            <c:numRef>
              <c:f>data!$F$15:$P$15</c:f>
              <c:numCache>
                <c:formatCode>0.00%</c:formatCode>
                <c:ptCount val="11"/>
                <c:pt idx="0">
                  <c:v>1.5785249726088565E-2</c:v>
                </c:pt>
                <c:pt idx="1">
                  <c:v>2.5538301025886251E-2</c:v>
                </c:pt>
                <c:pt idx="2">
                  <c:v>0</c:v>
                </c:pt>
                <c:pt idx="3">
                  <c:v>0</c:v>
                </c:pt>
                <c:pt idx="4">
                  <c:v>0</c:v>
                </c:pt>
                <c:pt idx="5">
                  <c:v>0</c:v>
                </c:pt>
                <c:pt idx="6">
                  <c:v>0</c:v>
                </c:pt>
                <c:pt idx="7">
                  <c:v>0</c:v>
                </c:pt>
                <c:pt idx="8">
                  <c:v>0</c:v>
                </c:pt>
                <c:pt idx="9">
                  <c:v>0</c:v>
                </c:pt>
                <c:pt idx="10">
                  <c:v>0</c:v>
                </c:pt>
              </c:numCache>
            </c:numRef>
          </c:val>
        </c:ser>
        <c:gapWidth val="75"/>
        <c:overlap val="100"/>
        <c:axId val="70483328"/>
        <c:axId val="36353152"/>
      </c:barChart>
      <c:lineChart>
        <c:grouping val="standard"/>
        <c:ser>
          <c:idx val="2"/>
          <c:order val="3"/>
          <c:tx>
            <c:v>Maksymalna obsługa zadłużenia</c:v>
          </c:tx>
          <c:spPr>
            <a:ln w="22225">
              <a:solidFill>
                <a:sysClr val="windowText" lastClr="000000"/>
              </a:solidFill>
              <a:prstDash val="dash"/>
            </a:ln>
          </c:spPr>
          <c:marker>
            <c:symbol val="none"/>
          </c:marker>
          <c:cat>
            <c:numRef>
              <c:f>data!$F$2:$R$2</c:f>
              <c:numCache>
                <c:formatCode>General</c:formatCode>
                <c:ptCount val="13"/>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numCache>
            </c:numRef>
          </c:cat>
          <c:val>
            <c:numRef>
              <c:f>data!$F$19:$P$19</c:f>
              <c:numCache>
                <c:formatCode>0.00%</c:formatCode>
                <c:ptCount val="11"/>
                <c:pt idx="0">
                  <c:v>0.10058316206786155</c:v>
                </c:pt>
                <c:pt idx="1">
                  <c:v>0.12879734477755925</c:v>
                </c:pt>
                <c:pt idx="2">
                  <c:v>0.12981956703874967</c:v>
                </c:pt>
                <c:pt idx="3">
                  <c:v>0.15644441573704351</c:v>
                </c:pt>
                <c:pt idx="4">
                  <c:v>0.15817456200607438</c:v>
                </c:pt>
                <c:pt idx="5">
                  <c:v>0.15173460726740548</c:v>
                </c:pt>
                <c:pt idx="6">
                  <c:v>0.13275231737109391</c:v>
                </c:pt>
                <c:pt idx="7">
                  <c:v>0.12072561077210742</c:v>
                </c:pt>
                <c:pt idx="8">
                  <c:v>0.11275263373191668</c:v>
                </c:pt>
                <c:pt idx="9">
                  <c:v>0.11509600571876669</c:v>
                </c:pt>
                <c:pt idx="10">
                  <c:v>0.12112856045214172</c:v>
                </c:pt>
              </c:numCache>
            </c:numRef>
          </c:val>
        </c:ser>
        <c:marker val="1"/>
        <c:axId val="70483328"/>
        <c:axId val="36353152"/>
      </c:lineChart>
      <c:catAx>
        <c:axId val="70483328"/>
        <c:scaling>
          <c:orientation val="minMax"/>
        </c:scaling>
        <c:axPos val="b"/>
        <c:numFmt formatCode="General" sourceLinked="1"/>
        <c:tickLblPos val="nextTo"/>
        <c:txPr>
          <a:bodyPr/>
          <a:lstStyle/>
          <a:p>
            <a:pPr>
              <a:defRPr sz="900"/>
            </a:pPr>
            <a:endParaRPr lang="pl-PL"/>
          </a:p>
        </c:txPr>
        <c:crossAx val="36353152"/>
        <c:crosses val="autoZero"/>
        <c:auto val="1"/>
        <c:lblAlgn val="ctr"/>
        <c:lblOffset val="100"/>
      </c:catAx>
      <c:valAx>
        <c:axId val="36353152"/>
        <c:scaling>
          <c:orientation val="minMax"/>
        </c:scaling>
        <c:axPos val="l"/>
        <c:majorGridlines>
          <c:spPr>
            <a:ln w="6350">
              <a:solidFill>
                <a:sysClr val="window" lastClr="FFFFFF">
                  <a:lumMod val="85000"/>
                </a:sysClr>
              </a:solidFill>
              <a:prstDash val="sysDash"/>
            </a:ln>
          </c:spPr>
        </c:majorGridlines>
        <c:numFmt formatCode="0%" sourceLinked="0"/>
        <c:majorTickMark val="none"/>
        <c:tickLblPos val="nextTo"/>
        <c:txPr>
          <a:bodyPr/>
          <a:lstStyle/>
          <a:p>
            <a:pPr>
              <a:defRPr sz="900"/>
            </a:pPr>
            <a:endParaRPr lang="pl-PL"/>
          </a:p>
        </c:txPr>
        <c:crossAx val="70483328"/>
        <c:crosses val="autoZero"/>
        <c:crossBetween val="between"/>
      </c:valAx>
    </c:plotArea>
    <c:legend>
      <c:legendPos val="b"/>
      <c:txPr>
        <a:bodyPr/>
        <a:lstStyle/>
        <a:p>
          <a:pPr>
            <a:defRPr sz="800"/>
          </a:pPr>
          <a:endParaRPr lang="pl-PL"/>
        </a:p>
      </c:txPr>
    </c:legend>
    <c:plotVisOnly val="1"/>
    <c:dispBlanksAs val="gap"/>
  </c:chart>
  <c:spPr>
    <a:ln>
      <a:noFill/>
    </a:ln>
  </c:spPr>
  <c:txPr>
    <a:bodyPr/>
    <a:lstStyle/>
    <a:p>
      <a:pPr>
        <a:defRPr>
          <a:latin typeface="Arial" pitchFamily="34" charset="0"/>
          <a:cs typeface="Arial" pitchFamily="34" charset="0"/>
        </a:defRPr>
      </a:pPr>
      <a:endParaRPr lang="pl-PL"/>
    </a:p>
  </c:txPr>
  <c:externalData r:id="rId2"/>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NewCurulis">
    <a:dk1>
      <a:srgbClr val="161616"/>
    </a:dk1>
    <a:lt1>
      <a:sysClr val="window" lastClr="FFFFFF"/>
    </a:lt1>
    <a:dk2>
      <a:srgbClr val="244061"/>
    </a:dk2>
    <a:lt2>
      <a:srgbClr val="EEECE1"/>
    </a:lt2>
    <a:accent1>
      <a:srgbClr val="000032"/>
    </a:accent1>
    <a:accent2>
      <a:srgbClr val="1B3048"/>
    </a:accent2>
    <a:accent3>
      <a:srgbClr val="5A89C1"/>
    </a:accent3>
    <a:accent4>
      <a:srgbClr val="BDCFE6"/>
    </a:accent4>
    <a:accent5>
      <a:srgbClr val="686868"/>
    </a:accent5>
    <a:accent6>
      <a:srgbClr val="B9B9B9"/>
    </a:accent6>
    <a:hlink>
      <a:srgbClr val="000099"/>
    </a:hlink>
    <a:folHlink>
      <a:srgbClr val="660066"/>
    </a:folHlink>
  </a:clrScheme>
  <a:fontScheme name="podstawowy">
    <a:majorFont>
      <a:latin typeface="Cambria"/>
      <a:ea typeface=""/>
      <a:cs typeface=""/>
    </a:majorFont>
    <a:minorFont>
      <a:latin typeface="HelveticaNeueLT Pro 45 Lt"/>
      <a:ea typeface=""/>
      <a:cs typeface=""/>
    </a:minorFont>
  </a:fontScheme>
  <a:fmtScheme name="Ekskluzywny">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72</TotalTime>
  <Pages>1</Pages>
  <Words>910</Words>
  <Characters>5460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eradlinska</dc:creator>
  <cp:keywords/>
  <dc:description/>
  <cp:lastModifiedBy>eradlinska</cp:lastModifiedBy>
  <cp:revision>10</cp:revision>
  <cp:lastPrinted>2014-11-28T12:16:00Z</cp:lastPrinted>
  <dcterms:created xsi:type="dcterms:W3CDTF">2014-11-27T09:43:00Z</dcterms:created>
  <dcterms:modified xsi:type="dcterms:W3CDTF">2014-11-28T12:27:00Z</dcterms:modified>
</cp:coreProperties>
</file>