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8B" w:rsidRDefault="00C369D9" w:rsidP="0091685C">
      <w:pPr>
        <w:ind w:left="4963"/>
        <w:jc w:val="right"/>
        <w:rPr>
          <w:rFonts w:cs="Times New Roman"/>
          <w:i/>
          <w:sz w:val="16"/>
          <w:szCs w:val="16"/>
        </w:rPr>
      </w:pPr>
      <w:r w:rsidRPr="00EF78EA">
        <w:rPr>
          <w:rFonts w:cs="Times New Roman"/>
          <w:i/>
          <w:sz w:val="16"/>
          <w:szCs w:val="16"/>
        </w:rPr>
        <w:t xml:space="preserve">Załącznik Nr 2 </w:t>
      </w:r>
    </w:p>
    <w:p w:rsidR="00C3198B" w:rsidRDefault="00C369D9" w:rsidP="0091685C">
      <w:pPr>
        <w:ind w:left="4963"/>
        <w:jc w:val="right"/>
        <w:rPr>
          <w:rFonts w:cs="Times New Roman"/>
          <w:i/>
          <w:sz w:val="16"/>
          <w:szCs w:val="16"/>
        </w:rPr>
      </w:pPr>
      <w:r w:rsidRPr="00EF78EA">
        <w:rPr>
          <w:rFonts w:cs="Times New Roman"/>
          <w:i/>
          <w:sz w:val="16"/>
          <w:szCs w:val="16"/>
        </w:rPr>
        <w:t xml:space="preserve">do </w:t>
      </w:r>
      <w:r w:rsidR="00A4470E" w:rsidRPr="00EF78EA">
        <w:rPr>
          <w:rFonts w:cs="Times New Roman"/>
          <w:i/>
          <w:sz w:val="16"/>
          <w:szCs w:val="16"/>
        </w:rPr>
        <w:t>uchwały</w:t>
      </w:r>
      <w:r w:rsidR="00C3198B">
        <w:rPr>
          <w:rFonts w:cs="Times New Roman"/>
          <w:i/>
          <w:sz w:val="16"/>
          <w:szCs w:val="16"/>
        </w:rPr>
        <w:t xml:space="preserve"> nr </w:t>
      </w:r>
      <w:r w:rsidR="00024A85">
        <w:rPr>
          <w:rFonts w:cs="Times New Roman"/>
          <w:i/>
          <w:sz w:val="16"/>
          <w:szCs w:val="16"/>
        </w:rPr>
        <w:t>XII/77/15</w:t>
      </w:r>
    </w:p>
    <w:p w:rsidR="00C3198B" w:rsidRDefault="00A4470E" w:rsidP="0091685C">
      <w:pPr>
        <w:ind w:left="4963"/>
        <w:jc w:val="right"/>
        <w:rPr>
          <w:rFonts w:cs="Times New Roman"/>
          <w:i/>
          <w:sz w:val="16"/>
          <w:szCs w:val="16"/>
        </w:rPr>
      </w:pPr>
      <w:r w:rsidRPr="00EF78EA">
        <w:rPr>
          <w:rFonts w:cs="Times New Roman"/>
          <w:i/>
          <w:sz w:val="16"/>
          <w:szCs w:val="16"/>
        </w:rPr>
        <w:t>Rady Gminy Kobylanka</w:t>
      </w:r>
    </w:p>
    <w:p w:rsidR="00A1377E" w:rsidRPr="00EF78EA" w:rsidRDefault="00115180" w:rsidP="0091685C">
      <w:pPr>
        <w:ind w:left="4963"/>
        <w:jc w:val="right"/>
        <w:rPr>
          <w:rFonts w:cs="Times New Roman"/>
          <w:i/>
          <w:sz w:val="16"/>
          <w:szCs w:val="16"/>
        </w:rPr>
      </w:pPr>
      <w:r w:rsidRPr="00EF78EA">
        <w:rPr>
          <w:rFonts w:cs="Times New Roman"/>
          <w:i/>
          <w:sz w:val="16"/>
          <w:szCs w:val="16"/>
        </w:rPr>
        <w:t xml:space="preserve"> z dnia </w:t>
      </w:r>
      <w:r w:rsidR="00E0500B">
        <w:rPr>
          <w:rFonts w:cs="Times New Roman"/>
          <w:i/>
          <w:sz w:val="16"/>
          <w:szCs w:val="16"/>
        </w:rPr>
        <w:t xml:space="preserve">24 </w:t>
      </w:r>
      <w:r w:rsidR="008B7F31">
        <w:rPr>
          <w:rFonts w:cs="Times New Roman"/>
          <w:i/>
          <w:sz w:val="16"/>
          <w:szCs w:val="16"/>
        </w:rPr>
        <w:t xml:space="preserve">września </w:t>
      </w:r>
      <w:r w:rsidR="00C3198B">
        <w:rPr>
          <w:rFonts w:cs="Times New Roman"/>
          <w:i/>
          <w:sz w:val="16"/>
          <w:szCs w:val="16"/>
        </w:rPr>
        <w:t xml:space="preserve"> </w:t>
      </w:r>
      <w:r w:rsidR="00952CD7" w:rsidRPr="00EF78EA">
        <w:rPr>
          <w:rFonts w:cs="Times New Roman"/>
          <w:i/>
          <w:sz w:val="16"/>
          <w:szCs w:val="16"/>
        </w:rPr>
        <w:t>2015</w:t>
      </w:r>
      <w:r w:rsidR="0091685C" w:rsidRPr="00EF78EA">
        <w:rPr>
          <w:rFonts w:cs="Times New Roman"/>
          <w:i/>
          <w:sz w:val="16"/>
          <w:szCs w:val="16"/>
        </w:rPr>
        <w:t xml:space="preserve"> r.</w:t>
      </w:r>
    </w:p>
    <w:p w:rsidR="00A1377E" w:rsidRPr="00EF78EA" w:rsidRDefault="00A1377E" w:rsidP="0091685C">
      <w:pPr>
        <w:ind w:firstLine="5460"/>
        <w:jc w:val="right"/>
        <w:rPr>
          <w:rFonts w:cs="Times New Roman"/>
          <w:sz w:val="20"/>
          <w:szCs w:val="20"/>
        </w:rPr>
      </w:pPr>
    </w:p>
    <w:p w:rsidR="00A1377E" w:rsidRPr="00EF78EA" w:rsidRDefault="00A1377E">
      <w:pPr>
        <w:ind w:firstLine="5460"/>
        <w:rPr>
          <w:rFonts w:cs="Times New Roman"/>
          <w:sz w:val="20"/>
          <w:szCs w:val="20"/>
        </w:rPr>
      </w:pPr>
    </w:p>
    <w:p w:rsidR="00A1377E" w:rsidRPr="00EF78EA" w:rsidRDefault="00A1377E">
      <w:pPr>
        <w:rPr>
          <w:rFonts w:cs="Times New Roman"/>
        </w:rPr>
      </w:pPr>
    </w:p>
    <w:p w:rsidR="00A1377E" w:rsidRPr="00EF78EA" w:rsidRDefault="00A4470E">
      <w:pPr>
        <w:jc w:val="center"/>
        <w:rPr>
          <w:rFonts w:cs="Times New Roman"/>
          <w:b/>
          <w:bCs/>
        </w:rPr>
      </w:pPr>
      <w:r w:rsidRPr="00EF78EA">
        <w:rPr>
          <w:rFonts w:cs="Times New Roman"/>
          <w:b/>
          <w:bCs/>
        </w:rPr>
        <w:t xml:space="preserve">Objaśnienia wartości przyjętych w wieloletniej prognozie finansowej </w:t>
      </w:r>
    </w:p>
    <w:p w:rsidR="00A1377E" w:rsidRPr="00EF78EA" w:rsidRDefault="00A4470E">
      <w:pPr>
        <w:jc w:val="center"/>
        <w:rPr>
          <w:rFonts w:cs="Times New Roman"/>
          <w:b/>
          <w:bCs/>
        </w:rPr>
      </w:pPr>
      <w:r w:rsidRPr="00EF78EA">
        <w:rPr>
          <w:rFonts w:cs="Times New Roman"/>
          <w:b/>
          <w:bCs/>
        </w:rPr>
        <w:t>Gminy Kobylanka na lata 2015-2023</w:t>
      </w:r>
    </w:p>
    <w:p w:rsidR="00A1377E" w:rsidRPr="00EF78EA" w:rsidRDefault="00A1377E">
      <w:pPr>
        <w:jc w:val="center"/>
        <w:rPr>
          <w:rFonts w:cs="Times New Roman"/>
          <w:b/>
          <w:bCs/>
        </w:rPr>
      </w:pPr>
    </w:p>
    <w:p w:rsidR="00A1377E" w:rsidRPr="00EF78EA" w:rsidRDefault="00A1377E">
      <w:pPr>
        <w:jc w:val="center"/>
        <w:rPr>
          <w:rFonts w:cs="Times New Roman"/>
          <w:b/>
          <w:bCs/>
        </w:rPr>
      </w:pPr>
    </w:p>
    <w:p w:rsidR="00A1377E" w:rsidRPr="00EF78EA" w:rsidRDefault="00A1377E">
      <w:pPr>
        <w:jc w:val="both"/>
        <w:rPr>
          <w:rFonts w:cs="Times New Roman"/>
          <w:sz w:val="22"/>
          <w:szCs w:val="22"/>
        </w:rPr>
      </w:pPr>
    </w:p>
    <w:p w:rsidR="00A1377E" w:rsidRPr="00EF78EA" w:rsidRDefault="00A4470E">
      <w:pPr>
        <w:ind w:firstLine="567"/>
        <w:jc w:val="both"/>
        <w:rPr>
          <w:rFonts w:cs="Times New Roman"/>
          <w:sz w:val="22"/>
          <w:szCs w:val="22"/>
        </w:rPr>
      </w:pPr>
      <w:r w:rsidRPr="00EF78EA">
        <w:rPr>
          <w:rFonts w:cs="Times New Roman"/>
          <w:sz w:val="22"/>
          <w:szCs w:val="22"/>
        </w:rPr>
        <w:t xml:space="preserve">Wieloletnia prognoza finansowa przedstawia perspektywę finansową, możliwości inwestycyjne </w:t>
      </w:r>
      <w:r w:rsidR="00EF78EA">
        <w:rPr>
          <w:rFonts w:cs="Times New Roman"/>
          <w:sz w:val="22"/>
          <w:szCs w:val="22"/>
        </w:rPr>
        <w:t xml:space="preserve">                      </w:t>
      </w:r>
      <w:r w:rsidRPr="00EF78EA">
        <w:rPr>
          <w:rFonts w:cs="Times New Roman"/>
          <w:sz w:val="22"/>
          <w:szCs w:val="22"/>
        </w:rPr>
        <w:t>i ocenę zdolności kredytowej w przyszłych latach na podstawie planowanych wielkości dochodów</w:t>
      </w:r>
      <w:r w:rsidR="00EF78EA">
        <w:rPr>
          <w:rFonts w:cs="Times New Roman"/>
          <w:sz w:val="22"/>
          <w:szCs w:val="22"/>
        </w:rPr>
        <w:t xml:space="preserve">                          </w:t>
      </w:r>
      <w:r w:rsidRPr="00EF78EA">
        <w:rPr>
          <w:rFonts w:cs="Times New Roman"/>
          <w:sz w:val="22"/>
          <w:szCs w:val="22"/>
        </w:rPr>
        <w:t xml:space="preserve"> i wydatków budżetu gminy, wykazu przedsięwzięć i prognozy długu jednostki samorządu terytorialnego.</w:t>
      </w:r>
    </w:p>
    <w:p w:rsidR="00A1377E" w:rsidRPr="00EF78EA" w:rsidRDefault="00A1377E">
      <w:pPr>
        <w:ind w:firstLine="567"/>
        <w:jc w:val="both"/>
        <w:rPr>
          <w:rFonts w:cs="Times New Roman"/>
          <w:sz w:val="22"/>
          <w:szCs w:val="22"/>
        </w:rPr>
      </w:pPr>
    </w:p>
    <w:p w:rsidR="00A1377E" w:rsidRPr="00EF78EA" w:rsidRDefault="00A4470E">
      <w:pPr>
        <w:ind w:firstLine="567"/>
        <w:jc w:val="both"/>
        <w:rPr>
          <w:rFonts w:cs="Times New Roman"/>
          <w:sz w:val="22"/>
          <w:szCs w:val="22"/>
        </w:rPr>
      </w:pPr>
      <w:r w:rsidRPr="00EF78EA">
        <w:rPr>
          <w:rFonts w:cs="Times New Roman"/>
          <w:sz w:val="22"/>
          <w:szCs w:val="22"/>
        </w:rPr>
        <w:t xml:space="preserve">Wieloletnia Prognoza Finansowa Gminy Kobylanka na lata 2015-2023 (WPF) została opracowana zgodnie z przepisem art. 227 ustawy z dnia 27 sierpnia 2009 r. o finansach publicznych. Zawiera wykaz przedsięwzięć inwestycyjnych, wydatków bieżących i majątkowych na lata 2015-2023, w którym określona jest kwota limitu zobowiązań jakie organ wykonawczy może zaciągnąć w okresie objętym prognozą w celu realizacji określonego przedsięwzięcia. </w:t>
      </w:r>
    </w:p>
    <w:p w:rsidR="00A1377E" w:rsidRPr="00EF78EA" w:rsidRDefault="00A1377E">
      <w:pPr>
        <w:ind w:firstLine="567"/>
        <w:jc w:val="both"/>
        <w:rPr>
          <w:rFonts w:cs="Times New Roman"/>
          <w:sz w:val="22"/>
          <w:szCs w:val="22"/>
        </w:rPr>
      </w:pPr>
    </w:p>
    <w:p w:rsidR="00A1377E" w:rsidRPr="00EF78EA" w:rsidRDefault="00A4470E">
      <w:pPr>
        <w:ind w:firstLine="567"/>
        <w:jc w:val="both"/>
        <w:rPr>
          <w:rFonts w:cs="Times New Roman"/>
          <w:sz w:val="22"/>
          <w:szCs w:val="22"/>
        </w:rPr>
      </w:pPr>
      <w:r w:rsidRPr="00EF78EA">
        <w:rPr>
          <w:rFonts w:cs="Times New Roman"/>
          <w:sz w:val="22"/>
          <w:szCs w:val="22"/>
        </w:rPr>
        <w:t xml:space="preserve">Wartości przyjęte w WPF dla roku 2015 są zgodne z planem budżetu na 2015 rok,             </w:t>
      </w:r>
      <w:r w:rsidR="00EF78EA">
        <w:rPr>
          <w:rFonts w:cs="Times New Roman"/>
          <w:sz w:val="22"/>
          <w:szCs w:val="22"/>
        </w:rPr>
        <w:t xml:space="preserve">                            </w:t>
      </w:r>
      <w:r w:rsidRPr="00EF78EA">
        <w:rPr>
          <w:rFonts w:cs="Times New Roman"/>
          <w:sz w:val="22"/>
          <w:szCs w:val="22"/>
        </w:rPr>
        <w:t xml:space="preserve">              a podstawową zasadą ich przyjęcia była ocena realnych potrzeb jednostek organizacyjnych gminy. </w:t>
      </w:r>
    </w:p>
    <w:p w:rsidR="00A1377E" w:rsidRPr="00EF78EA" w:rsidRDefault="00A4470E">
      <w:pPr>
        <w:jc w:val="both"/>
        <w:rPr>
          <w:rFonts w:cs="Times New Roman"/>
          <w:sz w:val="22"/>
          <w:szCs w:val="22"/>
        </w:rPr>
      </w:pPr>
      <w:r w:rsidRPr="00EF78EA">
        <w:rPr>
          <w:rFonts w:cs="Times New Roman"/>
          <w:sz w:val="22"/>
          <w:szCs w:val="22"/>
        </w:rPr>
        <w:t xml:space="preserve">Wykaz przedsięwzięć to odrębne informacje dla każdego przedsięwzięcia zawierające nazwę          </w:t>
      </w:r>
      <w:r w:rsidR="00EF78EA">
        <w:rPr>
          <w:rFonts w:cs="Times New Roman"/>
          <w:sz w:val="22"/>
          <w:szCs w:val="22"/>
        </w:rPr>
        <w:t xml:space="preserve">                                        </w:t>
      </w:r>
      <w:r w:rsidRPr="00EF78EA">
        <w:rPr>
          <w:rFonts w:cs="Times New Roman"/>
          <w:sz w:val="22"/>
          <w:szCs w:val="22"/>
        </w:rPr>
        <w:t xml:space="preserve">          i cel, jednostkę organizacyjną odpowiedzialną za wykonanie zadania, okres re</w:t>
      </w:r>
      <w:r w:rsidR="00EF78EA">
        <w:rPr>
          <w:rFonts w:cs="Times New Roman"/>
          <w:sz w:val="22"/>
          <w:szCs w:val="22"/>
        </w:rPr>
        <w:t>alizacji</w:t>
      </w:r>
      <w:r w:rsidRPr="00EF78EA">
        <w:rPr>
          <w:rFonts w:cs="Times New Roman"/>
          <w:sz w:val="22"/>
          <w:szCs w:val="22"/>
        </w:rPr>
        <w:t xml:space="preserve"> i łączną kwotę nakładów finansowych, źródła finansowania oraz limity wydatków i zobowiązań               </w:t>
      </w:r>
      <w:r w:rsidR="00EF78EA">
        <w:rPr>
          <w:rFonts w:cs="Times New Roman"/>
          <w:sz w:val="22"/>
          <w:szCs w:val="22"/>
        </w:rPr>
        <w:t xml:space="preserve">                                 </w:t>
      </w:r>
      <w:r w:rsidRPr="00EF78EA">
        <w:rPr>
          <w:rFonts w:cs="Times New Roman"/>
          <w:sz w:val="22"/>
          <w:szCs w:val="22"/>
        </w:rPr>
        <w:t xml:space="preserve">      w poszczególnych latach objętych prognozą. </w:t>
      </w:r>
    </w:p>
    <w:p w:rsidR="00A1377E" w:rsidRPr="00EF78EA" w:rsidRDefault="00A1377E">
      <w:pPr>
        <w:jc w:val="both"/>
        <w:rPr>
          <w:rFonts w:cs="Times New Roman"/>
          <w:sz w:val="22"/>
          <w:szCs w:val="22"/>
        </w:rPr>
      </w:pPr>
    </w:p>
    <w:p w:rsidR="00A1377E" w:rsidRPr="00EF78EA" w:rsidRDefault="00A4470E">
      <w:pPr>
        <w:ind w:firstLine="567"/>
        <w:jc w:val="both"/>
        <w:rPr>
          <w:rFonts w:cs="Times New Roman"/>
          <w:sz w:val="22"/>
          <w:szCs w:val="22"/>
        </w:rPr>
      </w:pPr>
      <w:r w:rsidRPr="00EF78EA">
        <w:rPr>
          <w:rFonts w:cs="Times New Roman"/>
          <w:sz w:val="22"/>
          <w:szCs w:val="22"/>
        </w:rPr>
        <w:t xml:space="preserve">Danymi bazowymi dla opracowania WPF Gminy Kobylanka począwszy od 2015 roku były dane sprawozdawcze z wykonania budżetu gminy za lata </w:t>
      </w:r>
      <w:r w:rsidR="00F727BE">
        <w:rPr>
          <w:rFonts w:cs="Times New Roman"/>
          <w:sz w:val="22"/>
          <w:szCs w:val="22"/>
        </w:rPr>
        <w:t>poprzednie</w:t>
      </w:r>
      <w:r w:rsidRPr="00EF78EA">
        <w:rPr>
          <w:rFonts w:cs="Times New Roman"/>
          <w:sz w:val="22"/>
          <w:szCs w:val="22"/>
        </w:rPr>
        <w:t>. Do planowania wysokości dotacji, subwencji i udziałów w podatku dochodowym od osób fizycznych na rok 2015, wykorzystano dane z Zachodniopomorskiego Urzędu Wojewódzkiego, Ministerstwa Finansów, Krajowego Biura Wyborczego. Progno</w:t>
      </w:r>
      <w:r w:rsidR="00EF78EA">
        <w:rPr>
          <w:rFonts w:cs="Times New Roman"/>
          <w:sz w:val="22"/>
          <w:szCs w:val="22"/>
        </w:rPr>
        <w:t xml:space="preserve">zę dochodów </w:t>
      </w:r>
      <w:r w:rsidRPr="00EF78EA">
        <w:rPr>
          <w:rFonts w:cs="Times New Roman"/>
          <w:sz w:val="22"/>
          <w:szCs w:val="22"/>
        </w:rPr>
        <w:t xml:space="preserve"> i wydatków bieżących prognozy finansowej opracowano uwzględniając wskaźniki makroekonomiczne, zaś wartości w ten sposób uzyskane korygowano w odniesieniu do danych historycznych, celem ich urealnienia. Kwoty przychodów i rozchodów budżetu w prognozowanym okresie do 2023 roku wynikają z zawartych umów. Na podstawie kwot zobowiązań na koniec każdego roku budżetowego prognozowano kwoty kosztów obsługi zobowiązań finansowych. </w:t>
      </w:r>
    </w:p>
    <w:p w:rsidR="00A1377E" w:rsidRPr="00EF78EA" w:rsidRDefault="00A1377E">
      <w:pPr>
        <w:ind w:firstLine="567"/>
        <w:jc w:val="both"/>
        <w:rPr>
          <w:rFonts w:cs="Times New Roman"/>
          <w:sz w:val="22"/>
          <w:szCs w:val="22"/>
        </w:rPr>
      </w:pPr>
    </w:p>
    <w:p w:rsidR="00A1377E" w:rsidRPr="00EF78EA" w:rsidRDefault="00A4470E">
      <w:pPr>
        <w:ind w:firstLine="567"/>
        <w:jc w:val="both"/>
        <w:rPr>
          <w:rFonts w:cs="Times New Roman"/>
          <w:sz w:val="22"/>
          <w:szCs w:val="22"/>
        </w:rPr>
      </w:pPr>
      <w:r w:rsidRPr="00EF78EA">
        <w:rPr>
          <w:rFonts w:cs="Times New Roman"/>
          <w:sz w:val="22"/>
          <w:szCs w:val="22"/>
        </w:rPr>
        <w:t xml:space="preserve">Wykaz przedsięwzięć, w tym inwestycyjnych, zakłada kontynuację wcześniej rozpoczętych zadań, wśród których większość wynika z zawartych umów wykupu wierzytelności, jak również planowane zadania w realnej perspektywie finansowej. </w:t>
      </w:r>
    </w:p>
    <w:p w:rsidR="00A1377E" w:rsidRPr="00EF78EA" w:rsidRDefault="00A1377E">
      <w:pPr>
        <w:ind w:firstLine="567"/>
        <w:jc w:val="both"/>
        <w:rPr>
          <w:rFonts w:cs="Times New Roman"/>
          <w:sz w:val="22"/>
          <w:szCs w:val="22"/>
        </w:rPr>
      </w:pPr>
    </w:p>
    <w:p w:rsidR="00A1377E" w:rsidRPr="00EF78EA" w:rsidRDefault="00A4470E">
      <w:pPr>
        <w:ind w:firstLine="567"/>
        <w:jc w:val="both"/>
        <w:rPr>
          <w:rFonts w:cs="Times New Roman"/>
          <w:sz w:val="22"/>
          <w:szCs w:val="22"/>
        </w:rPr>
      </w:pPr>
      <w:r w:rsidRPr="00EF78EA">
        <w:rPr>
          <w:rFonts w:cs="Times New Roman"/>
          <w:sz w:val="22"/>
          <w:szCs w:val="22"/>
        </w:rPr>
        <w:t>W każdym roku WPF Gminy Kobylanka w latach 2015-20</w:t>
      </w:r>
      <w:r w:rsidR="008B7F31">
        <w:rPr>
          <w:rFonts w:cs="Times New Roman"/>
          <w:sz w:val="22"/>
          <w:szCs w:val="22"/>
        </w:rPr>
        <w:t>2</w:t>
      </w:r>
      <w:r w:rsidRPr="00EF78EA">
        <w:rPr>
          <w:rFonts w:cs="Times New Roman"/>
          <w:sz w:val="22"/>
          <w:szCs w:val="22"/>
        </w:rPr>
        <w:t xml:space="preserve">3 spełnione zostały warunki,       </w:t>
      </w:r>
      <w:r w:rsidR="00EF78EA">
        <w:rPr>
          <w:rFonts w:cs="Times New Roman"/>
          <w:sz w:val="22"/>
          <w:szCs w:val="22"/>
        </w:rPr>
        <w:t xml:space="preserve">              </w:t>
      </w:r>
      <w:r w:rsidRPr="00EF78EA">
        <w:rPr>
          <w:rFonts w:cs="Times New Roman"/>
          <w:sz w:val="22"/>
          <w:szCs w:val="22"/>
        </w:rPr>
        <w:t xml:space="preserve">            o których mowa w art.243 ustawy z dnia 27 sierpnia 2009 r. o finansach publicznych, co             </w:t>
      </w:r>
      <w:r w:rsidR="00EF78EA">
        <w:rPr>
          <w:rFonts w:cs="Times New Roman"/>
          <w:sz w:val="22"/>
          <w:szCs w:val="22"/>
        </w:rPr>
        <w:t xml:space="preserve">                 </w:t>
      </w:r>
      <w:r w:rsidRPr="00EF78EA">
        <w:rPr>
          <w:rFonts w:cs="Times New Roman"/>
          <w:sz w:val="22"/>
          <w:szCs w:val="22"/>
        </w:rPr>
        <w:t xml:space="preserve">             w obecnym stanie prawnym jest warunkiem koniecznym dla zapewnienia prawidłowego rozwoju jednostki samorządu terytorialnego.</w:t>
      </w:r>
    </w:p>
    <w:p w:rsidR="00A1377E" w:rsidRPr="00EF78EA" w:rsidRDefault="00A1377E">
      <w:pPr>
        <w:ind w:firstLine="567"/>
        <w:jc w:val="both"/>
        <w:rPr>
          <w:rFonts w:cs="Times New Roman"/>
          <w:sz w:val="22"/>
          <w:szCs w:val="22"/>
        </w:rPr>
      </w:pPr>
    </w:p>
    <w:p w:rsidR="00A4470E" w:rsidRPr="00EF78EA" w:rsidRDefault="00A4470E">
      <w:pPr>
        <w:ind w:firstLine="567"/>
        <w:jc w:val="both"/>
        <w:rPr>
          <w:rFonts w:cs="Times New Roman"/>
          <w:sz w:val="22"/>
          <w:szCs w:val="22"/>
        </w:rPr>
      </w:pPr>
    </w:p>
    <w:sectPr w:rsidR="00A4470E" w:rsidRPr="00EF78EA" w:rsidSect="00A1377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E5EA5"/>
    <w:rsid w:val="00024A85"/>
    <w:rsid w:val="00115180"/>
    <w:rsid w:val="001D2550"/>
    <w:rsid w:val="00323336"/>
    <w:rsid w:val="0033566D"/>
    <w:rsid w:val="007C33E1"/>
    <w:rsid w:val="008B7F31"/>
    <w:rsid w:val="008E5EA5"/>
    <w:rsid w:val="0091685C"/>
    <w:rsid w:val="00952CD7"/>
    <w:rsid w:val="009831D6"/>
    <w:rsid w:val="009F3487"/>
    <w:rsid w:val="00A1377E"/>
    <w:rsid w:val="00A4470E"/>
    <w:rsid w:val="00A71A6F"/>
    <w:rsid w:val="00AF5C62"/>
    <w:rsid w:val="00C3198B"/>
    <w:rsid w:val="00C369D9"/>
    <w:rsid w:val="00E0500B"/>
    <w:rsid w:val="00EE5F4F"/>
    <w:rsid w:val="00EF78EA"/>
    <w:rsid w:val="00F330A5"/>
    <w:rsid w:val="00F727BE"/>
    <w:rsid w:val="00F7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77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rsid w:val="00A1377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A1377E"/>
    <w:pPr>
      <w:spacing w:after="120"/>
    </w:pPr>
  </w:style>
  <w:style w:type="paragraph" w:styleId="Lista">
    <w:name w:val="List"/>
    <w:basedOn w:val="Tekstpodstawowy"/>
    <w:rsid w:val="00A1377E"/>
  </w:style>
  <w:style w:type="paragraph" w:customStyle="1" w:styleId="Caption">
    <w:name w:val="Caption"/>
    <w:basedOn w:val="Normalny"/>
    <w:rsid w:val="00A1377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rsid w:val="00A1377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432</Words>
  <Characters>2595</Characters>
  <Application>Microsoft Office Word</Application>
  <DocSecurity>0</DocSecurity>
  <Lines>21</Lines>
  <Paragraphs>6</Paragraphs>
  <ScaleCrop>false</ScaleCrop>
  <Company>Hewlett-Packard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mprzysiwek</dc:creator>
  <cp:lastModifiedBy>bopasinska</cp:lastModifiedBy>
  <cp:revision>16</cp:revision>
  <cp:lastPrinted>2015-09-17T10:46:00Z</cp:lastPrinted>
  <dcterms:created xsi:type="dcterms:W3CDTF">2014-12-23T12:42:00Z</dcterms:created>
  <dcterms:modified xsi:type="dcterms:W3CDTF">2015-09-30T12:54:00Z</dcterms:modified>
</cp:coreProperties>
</file>