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4418DF" w14:textId="6735F149" w:rsidR="0063515B" w:rsidRDefault="0063515B" w:rsidP="0063515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</w:t>
      </w:r>
      <w:r w:rsidR="005E6702">
        <w:rPr>
          <w:rFonts w:ascii="Times New Roman" w:hAnsi="Times New Roman" w:cs="Times New Roman"/>
        </w:rPr>
        <w:t xml:space="preserve"> do </w:t>
      </w:r>
      <w:r w:rsidR="00B56752">
        <w:rPr>
          <w:rFonts w:ascii="Times New Roman" w:hAnsi="Times New Roman" w:cs="Times New Roman"/>
        </w:rPr>
        <w:t xml:space="preserve">Uchwały nr VII/46/19 </w:t>
      </w:r>
      <w:r w:rsidR="00760479">
        <w:rPr>
          <w:rFonts w:ascii="Times New Roman" w:hAnsi="Times New Roman" w:cs="Times New Roman"/>
        </w:rPr>
        <w:t>Rady</w:t>
      </w:r>
      <w:r w:rsidR="005E6702">
        <w:rPr>
          <w:rFonts w:ascii="Times New Roman" w:hAnsi="Times New Roman" w:cs="Times New Roman"/>
        </w:rPr>
        <w:t xml:space="preserve"> Gminy Kobylanka z dnia </w:t>
      </w:r>
      <w:r w:rsidR="00B56752">
        <w:rPr>
          <w:rFonts w:ascii="Times New Roman" w:hAnsi="Times New Roman" w:cs="Times New Roman"/>
        </w:rPr>
        <w:t xml:space="preserve"> 18 kwietnia 2019 r.</w:t>
      </w:r>
    </w:p>
    <w:p w14:paraId="4680E44C" w14:textId="77777777" w:rsidR="00D41CE9" w:rsidRDefault="00D41CE9">
      <w:pPr>
        <w:rPr>
          <w:rFonts w:ascii="Times New Roman" w:hAnsi="Times New Roman" w:cs="Times New Roman"/>
        </w:rPr>
      </w:pPr>
      <w:bookmarkStart w:id="0" w:name="_GoBack"/>
      <w:bookmarkEnd w:id="0"/>
    </w:p>
    <w:p w14:paraId="49A3A6C7" w14:textId="77777777" w:rsidR="007A4073" w:rsidRDefault="007A4073" w:rsidP="007A407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Objaśnienia wartości przyjętych w Wieloletniej Prognozie Finansowej Gminy Kobylanka na lata 2019-2030</w:t>
      </w:r>
    </w:p>
    <w:p w14:paraId="2641F32A" w14:textId="77777777" w:rsidR="007A4073" w:rsidRDefault="007A4073" w:rsidP="007A4073">
      <w:pPr>
        <w:rPr>
          <w:rFonts w:ascii="Times New Roman" w:hAnsi="Times New Roman" w:cs="Times New Roman"/>
        </w:rPr>
      </w:pPr>
    </w:p>
    <w:p w14:paraId="4B1A680D" w14:textId="77777777" w:rsidR="007A4073" w:rsidRPr="00D41CE9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Wieloletnia Prognoza Finansowa (WPF)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której obowiązek  sporządzania wprowadzony został przepisami </w:t>
      </w:r>
      <w:r w:rsidRPr="00D41C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Ustawy o finansach publicznych z 27 sierpnia 2009 roku (Ustawa)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jest instrumentem nowoczesnego zarządzania finansami publicznymi. Wieloletnia prognoza finansowa sporządzana jest w celu przeprowadzenia oceny sytuacji finansowej jednostki samorządu terytorialnego przez organy JST, jej mieszkańców, instytucje finansowe, organy nadzoru oraz wszystkich pozostałych zainteresowanych. Tworzenie projekcji dochodów i wydatków budżetowych obrazujących sytuację finansową Jednostki Samorządu Terytorialnego w przyszłych latach pozwala na dokonanie analizy możliwości inwestycyjnych JST oraz ocenę jej zdolności kredytowej. </w:t>
      </w:r>
    </w:p>
    <w:p w14:paraId="4F1693BD" w14:textId="77777777" w:rsidR="007A4073" w:rsidRPr="00D41CE9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>Wieloletnia Prognoza Finansowa Gminy Kobylanka przygotowana została na lata 2019–2030. Długość okresu objętego prognozą wynika z art. 227 ust. 2 Ustawy z dnia 27 sierpnia 2009 roku o finansach publicznych. Z brzmienia przepisu wynika, że prognozę należy sporządzić na okres, na który zaciągnięto oraz planuje się zaciągnąć zobowiązania. Ostatni rok spłaty planowanych do zaciągnięcia przez Gminę zobowiązań przypada na rok 2030.</w:t>
      </w:r>
    </w:p>
    <w:p w14:paraId="302E8B69" w14:textId="77777777" w:rsidR="007A4073" w:rsidRPr="00D41CE9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przyjęte w </w:t>
      </w:r>
      <w:r w:rsidRPr="00D41C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WPF 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</w:t>
      </w:r>
      <w:r w:rsidRPr="00D41CE9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Uchwale budżetowej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powinny być zgodne, co najmniej w zakresie wyniku budżetu i związanych z nimi kwot przychodów i rozchodów oraz długu.</w:t>
      </w:r>
    </w:p>
    <w:p w14:paraId="04A6F525" w14:textId="77777777" w:rsidR="007A4073" w:rsidRPr="00D41CE9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Część obowiązująca </w:t>
      </w:r>
      <w:r w:rsidRPr="00D41C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Wieloletniej Prognozy Finansowej</w:t>
      </w:r>
      <w:r w:rsidRPr="00D41C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na 2019 rok i lata nast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D41C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pne 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spełnia wymogi ustawy o finansach publicznych z dnia 27 sierpnia 2009 roku. </w:t>
      </w:r>
      <w:r w:rsidRPr="00D41C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WPF</w:t>
      </w:r>
      <w:r w:rsidRPr="00D41C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 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stanowi załącznik Nr 1 do </w:t>
      </w:r>
      <w:r w:rsidRPr="00D41CE9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Uchwały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1417302F" w14:textId="77777777" w:rsidR="007A4073" w:rsidRPr="00D41CE9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</w:t>
      </w:r>
      <w:r w:rsidRPr="00D41C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podstawowe elementy prognozy finansowej to dochody i wydatki w podziale na bieżące i majątkowe oraz wynik budżetu. Przedstawia się również informacje o przeznaczeniu nadwyżki bądź sposobie sfinansowania deficytu budżetowego. Kolejnymi prognozowanymi elementami są przychody i rozchody budżetu uwzględniające dług zaciągnięty oraz planowany do zaciągnięcia. Ostatnią prognozowaną pozycją jest kwota długu, w tym relacja zadłużenia opisana w art. 243 </w:t>
      </w:r>
      <w:r w:rsidRPr="00D41C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Ustawy 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sposób sfinansowania spłaty zadłużenia.</w:t>
      </w:r>
    </w:p>
    <w:p w14:paraId="58A04733" w14:textId="77777777" w:rsidR="007A4073" w:rsidRPr="00D41CE9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17D85E59" w14:textId="77777777" w:rsidR="007A4073" w:rsidRPr="00D41CE9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1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Głównym celem WPF jest opracowanie </w:t>
      </w:r>
      <w:r w:rsidRPr="00D41CE9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realistycznej prognozy</w:t>
      </w:r>
      <w:r w:rsidRPr="00D41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która jest wykorzystywana do zarządzania i oceny zdolności kredytowej, a co za tym idzie – do określenia potencjału inwestycyjnego oraz programowania podstawowych wielkości przyszłych budżetów. Zachowanie podstawowej zasady jawności i przejrzystości finansów publicznych wymaga między innymi jasnego określenia i upublicznienia przesłanek i założeń polityki finansowej i ich przewidywanych skutków.</w:t>
      </w:r>
    </w:p>
    <w:p w14:paraId="62A8489B" w14:textId="77777777" w:rsidR="007A4073" w:rsidRPr="00D41CE9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wieloletniej prognozy finansowej umożliwia weryfikację długookresowej stabilności finansowej jednostki samorządu terytorialnego. Pod pojęciem stabilności należy rozumieć  zdolność do obsługi zobowiązań i utrzymania płynności finansowej w długiej perspektywie. Z założenia </w:t>
      </w:r>
      <w:r w:rsidRPr="00D41CE9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WPF 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dokumentem </w:t>
      </w:r>
      <w:r w:rsidRPr="00D41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strategicznym i priorytetowym</w:t>
      </w:r>
      <w:r w:rsidRPr="00D41C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służącym wytyczaniu kierunków rozwoju jednostki samorządu terytorialnego, poprzez długoplanowe ujęcie potrzeb i możliwości samorządów. Pomimo trudności, jakie wiążą się z przewidywaniem sytuacji finansowej samorządów terytorialnych w perspektywie wieloletniej,  planowanie wieloletnie umożliwia kompleksową ocenę kondycji finansowej samorządu w dłuższej perspektywie. Poprzez prezentowanie w przejrzysty i jasny sposób następstw budżetowych obecnie podejmowanych decyzji, </w:t>
      </w:r>
      <w:r w:rsidRPr="00D41C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planowanie wieloletnie pomaga ujawniać potencjalne problemy finansowe, z jakimi mogą  być skonfrontowane budżety konstruowane w latach następnych.</w:t>
      </w:r>
    </w:p>
    <w:p w14:paraId="6CF65F10" w14:textId="77777777" w:rsidR="007A4073" w:rsidRPr="00766D91" w:rsidRDefault="007A4073" w:rsidP="007A407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bookmarkStart w:id="1" w:name="_Toc20766553"/>
      <w:bookmarkStart w:id="2" w:name="_Toc91916448"/>
      <w:r w:rsidRPr="007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ZAŁOŻENIA DO PROGNOZY DOCHODÓW I WYDATKÓW </w:t>
      </w:r>
      <w:bookmarkEnd w:id="1"/>
      <w:bookmarkEnd w:id="2"/>
    </w:p>
    <w:p w14:paraId="42A9D336" w14:textId="77777777" w:rsidR="007A4073" w:rsidRPr="00766D91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Zwracając uwagę na kroczący charakter prognozy, która corocznie będzie nowelizowana przyjęto następujące założenia:</w:t>
      </w:r>
    </w:p>
    <w:p w14:paraId="081895C3" w14:textId="77777777" w:rsidR="007A4073" w:rsidRPr="00766D91" w:rsidRDefault="007A4073" w:rsidP="007A4073">
      <w:pPr>
        <w:spacing w:after="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- 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dla roku 2019 przyjęto wartości wynikające z projektu budżetu z wprowadzoną autopoprawką, oparte na przewidywanym wykonaniu w 2018r.;</w:t>
      </w:r>
    </w:p>
    <w:p w14:paraId="323616D5" w14:textId="77777777" w:rsidR="007A4073" w:rsidRPr="00766D91" w:rsidRDefault="007A4073" w:rsidP="007A4073">
      <w:pPr>
        <w:spacing w:after="0" w:line="240" w:lineRule="auto"/>
        <w:ind w:left="705" w:hanging="70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dla lat 2020-2030 przyjęto sposób prognozowania, poprzez indeksację o poszczególne wskaźniki oraz korekty merytoryczne;</w:t>
      </w:r>
    </w:p>
    <w:p w14:paraId="6016BDAC" w14:textId="77777777" w:rsidR="007A4073" w:rsidRPr="00766D91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Podzielenie prognozy w powyższy sposób pozwala na realną ocenę możliwości inwestycyjno-kredytowych Gminy.  Niestabilność i nieprzewidywalność cykli gospodarczych nakazuje zachowanie szczególnej ostrożności dla prognoz długookresowych. </w:t>
      </w:r>
    </w:p>
    <w:p w14:paraId="63775695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budżetu w latach 2019–2030  z podziałem na dochody bieżące i dochody majątkowe wykazane zostały w pozycji 1 z</w:t>
      </w:r>
      <w:r w:rsidRPr="00766D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ałącznika Nr 1 WPF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. Głównymi źródłami dochodów bieżących, mających najistotniejszy wpływ na gospodarkę finansową Gminy, są: dochody podatkowe, wpływy z opłat oraz udziały w podatku dochodowym od osób fizycznych.</w:t>
      </w:r>
    </w:p>
    <w:p w14:paraId="74418FEE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Dochody podatkowe, których głównym źródłem jest podatek od nieruchomości, w latach 2020-2030 ustalono na poziomie roku 2019, a następnie skorygowano o wzrost podatku od nieruchomości z tytułu nowych obiektów przyjętych do użytkowania, o zmiany w zakresie opodatkowania nieruchomości, szczególnie w okresie sezonu letniego oraz o wzrost stawek podatkowych zakładając 3%-4% wzrost do ostatniego roku prognozy. Nie założono wzrostu stawek podatkowych. </w:t>
      </w:r>
    </w:p>
    <w:p w14:paraId="123B9CB1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dochodach pochodzących z subwencji założono 2% wzrost począwszy od roku 2020 wyznaczając rok 2019 jako bazowy. </w:t>
      </w:r>
    </w:p>
    <w:p w14:paraId="13F6F644" w14:textId="77777777" w:rsidR="007A4073" w:rsidRPr="00766D91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Dotacje utrzymują się od kilku lat na porównywalnym poziomie, dlatego przyjęto 1% wzrost w latach 2020-2030.</w:t>
      </w:r>
    </w:p>
    <w:p w14:paraId="04523884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Dochodami najbardziej odzwierciedlającymi koniunkturę gospodarczą są dochody z podatków bezpośrednich: PIT – podatek dochodowy od osób fizycznych. Poziom wpływów z tego tytułu zaplanowano w oparciu o plan na 2019r., a następnie założono wzrost o 3%-5% w kolejnych latach budżetowych.</w:t>
      </w:r>
      <w:r w:rsidRPr="00766D91">
        <w:rPr>
          <w:rFonts w:ascii="Times New Roman" w:eastAsia="Times New Roman" w:hAnsi="Times New Roman" w:cs="Times New Roman"/>
          <w:color w:val="555555"/>
          <w:sz w:val="24"/>
          <w:szCs w:val="24"/>
          <w:lang w:eastAsia="pl-PL"/>
        </w:rPr>
        <w:t xml:space="preserve"> </w:t>
      </w:r>
    </w:p>
    <w:p w14:paraId="614EE110" w14:textId="77777777" w:rsidR="007A4073" w:rsidRPr="00766D91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Dochody z tytułu sprzedaży majątku  przyjęto w latach 2019-2030 na poziomie średnio 100.000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zł. </w:t>
      </w:r>
    </w:p>
    <w:p w14:paraId="2A1D1D19" w14:textId="77777777" w:rsidR="007A4073" w:rsidRPr="00766D91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braku dochodów ze sprzedaży majątku lub środków zewnętrznych możliwości inwestycyjne Gminy będą ograniczone. Pozyskanie środków zewnętrznych na finansowanie inwestycji może obniżyć potrzeby pożyczkowe Gminy, wpływając na poprawę wskaźnika zadłużenia. </w:t>
      </w:r>
    </w:p>
    <w:p w14:paraId="39F20C58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Wydatki w latach 2019–2030, z wyszczególnieniem wydatków bieżących oraz wydatków majątkowych, wykazane zostały w pozycji 2 </w:t>
      </w:r>
      <w:r w:rsidRPr="00766D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Załącznika Nr 1 WPF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14:paraId="15D051A8" w14:textId="77777777" w:rsidR="007A4073" w:rsidRPr="00766D91" w:rsidRDefault="007A4073" w:rsidP="007A40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prognozie finansowej uwzględniono wzrost wydatków bieżących tylko o 1%. Zważając na tempo wzrostu wydatków bieżących w latach 2016-2018 – średnio o 13% -  utrzymanie wydatków bieżących na takim poziomie może być trudne, jednak nie niemożliwe. </w:t>
      </w:r>
    </w:p>
    <w:p w14:paraId="73D94AA8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Wydatki majątkowe w latach 2019 - 2030 zaplanowano w łącznej kwocie 79.674.250,28 zł. W ramach tych wydatków znajdują się duże zadania inwestycyjne, na które Gmina będzie aplikowała o dofinansowanie ze środków UE oraz z budżetu państwa. W kolejnych latach budżetowych wydatki majątkowe uzależniono od możliwości zadłużeniowych Gminy, przyjmując założenia:</w:t>
      </w:r>
    </w:p>
    <w:p w14:paraId="72120ACF" w14:textId="77777777" w:rsidR="007A4073" w:rsidRPr="00766D91" w:rsidRDefault="007A4073" w:rsidP="007A4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łączny poziom wydatków majątkowych nie może przekraczać kwoty wynikającej z analizy</w:t>
      </w:r>
    </w:p>
    <w:p w14:paraId="3935AA1A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kredytowej, zapewniającej zachowanie wskaźnika zadłużenia,</w:t>
      </w:r>
    </w:p>
    <w:p w14:paraId="5ACB6782" w14:textId="77777777" w:rsidR="007A4073" w:rsidRPr="00766D91" w:rsidRDefault="007A4073" w:rsidP="007A407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skorelowanie poziomu wydatków majątkowych z prognozowanymi dochodami majątkowymi.</w:t>
      </w:r>
    </w:p>
    <w:p w14:paraId="484ECBAE" w14:textId="77777777" w:rsidR="007A4073" w:rsidRPr="00766D91" w:rsidRDefault="007A4073" w:rsidP="007A4073">
      <w:pPr>
        <w:tabs>
          <w:tab w:val="left" w:pos="284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E8A9CE" w14:textId="77777777" w:rsidR="007A4073" w:rsidRPr="00766D91" w:rsidRDefault="007A4073" w:rsidP="007A4073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PRZYCHODY, ROZCHODY I OBSŁUGA DŁUGU </w:t>
      </w:r>
    </w:p>
    <w:p w14:paraId="25C70447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 budżetu w latach 2019–2030 wykazany w pozycji 3 </w:t>
      </w:r>
      <w:r w:rsidRPr="00766D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Załącznika Nr 1 WPF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, został obliczony jako różnica między dochodami ogółem i wydatkami ogółem.</w:t>
      </w:r>
    </w:p>
    <w:p w14:paraId="5EFBD35C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Przychody budżetu wykazane zostały w pozycji 4 </w:t>
      </w:r>
      <w:r w:rsidRPr="00766D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Załącznika  Nr 1 WPF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Przychody w 2019 roku obejmują emisję obligacji komunalnych na pokrycie deficytu i spłatę długu, </w:t>
      </w:r>
      <w:r w:rsidRPr="00766D91">
        <w:rPr>
          <w:rFonts w:ascii="Times New Roman" w:eastAsia="Calibri" w:hAnsi="Times New Roman" w:cs="Times New Roman"/>
          <w:bCs/>
          <w:color w:val="000000"/>
        </w:rPr>
        <w:t>wolne środki, jako nadwyżka środków pieniężnych na rachunku bieżącym budżetu, wynikających z rozliczeń wyemitowanych papierów wartościowych, kredytów i pożyczek z lat ubiegłych na pokrycie deficytu oraz spłatę udzielonej pożyczki na pokrycie deficytu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. Nadwyżki budżetu w latach 2020-2030 przeznaczono na spłatę zaciągniętych zobowiązań.</w:t>
      </w:r>
    </w:p>
    <w:p w14:paraId="7DE859C5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Rozchody budżetu wykazane zostały w pozycji 5 </w:t>
      </w:r>
      <w:r w:rsidRPr="00766D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Załącznika Nr 1 WPF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. Rozchody w latach 2019–2030 obejmują spłaty kredytów i pożyczek oraz wyemitowanych obligacji komunalnych w latach ubiegłych oraz planowane spłaty przyszłych zobowiązań.</w:t>
      </w:r>
    </w:p>
    <w:p w14:paraId="55C8C33D" w14:textId="77777777" w:rsidR="007A4073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1F6F1ED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Dług publiczny wykazany został w pozycji 6 </w:t>
      </w:r>
      <w:r w:rsidRPr="00766D91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załącznika Nr 1 WPF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Dług Gminy w 2019 roku został obliczony jako saldo końcowe długu roku poprzedniego powiększone o przychody z tytułu planowanych emisji obligacji oraz pomniejszone o rozchody z tytułu wykupu  obligacji.  </w:t>
      </w:r>
    </w:p>
    <w:p w14:paraId="49ABC0C0" w14:textId="77777777" w:rsidR="007A4073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Kredyty, pożyczki, emisja obligacji komunalnych w latach 2017-2019, </w:t>
      </w:r>
      <w:r w:rsidRPr="007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głównie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na zaciągnięte w poprzedniej kadencji zobowiązania w łącznej kwocie 19.844.372,91 zł </w:t>
      </w: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przedstawiają się następująco: </w:t>
      </w:r>
    </w:p>
    <w:p w14:paraId="5D0E73AB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36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98"/>
        <w:gridCol w:w="1540"/>
        <w:gridCol w:w="1512"/>
        <w:gridCol w:w="1504"/>
        <w:gridCol w:w="2015"/>
      </w:tblGrid>
      <w:tr w:rsidR="007A4073" w:rsidRPr="00766D91" w14:paraId="47113763" w14:textId="77777777" w:rsidTr="00BC6B9B">
        <w:trPr>
          <w:trHeight w:val="450"/>
          <w:jc w:val="center"/>
        </w:trPr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52DF" w14:textId="77777777" w:rsidR="007A4073" w:rsidRPr="00766D91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FF022" w14:textId="77777777" w:rsidR="007A4073" w:rsidRPr="00766D91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2017 r.</w:t>
            </w:r>
          </w:p>
        </w:tc>
        <w:tc>
          <w:tcPr>
            <w:tcW w:w="15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C07E4" w14:textId="77777777" w:rsidR="007A4073" w:rsidRPr="00766D91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2018 r. </w:t>
            </w:r>
          </w:p>
        </w:tc>
        <w:tc>
          <w:tcPr>
            <w:tcW w:w="1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4790DE" w14:textId="77777777" w:rsidR="007A4073" w:rsidRPr="00766D91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2019 r. 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D62BA" w14:textId="77777777" w:rsidR="007A4073" w:rsidRPr="00766D91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Razem</w:t>
            </w:r>
          </w:p>
        </w:tc>
      </w:tr>
      <w:tr w:rsidR="007A4073" w:rsidRPr="00766D91" w14:paraId="64D213EF" w14:textId="77777777" w:rsidTr="00BC6B9B">
        <w:trPr>
          <w:trHeight w:val="525"/>
          <w:jc w:val="center"/>
        </w:trPr>
        <w:tc>
          <w:tcPr>
            <w:tcW w:w="17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6A52E" w14:textId="77777777" w:rsidR="007A4073" w:rsidRPr="00766D91" w:rsidRDefault="007A4073" w:rsidP="00BC6B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Wysokość zobowiązań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BDC36" w14:textId="77777777" w:rsidR="007A4073" w:rsidRPr="00766D91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3 799 000,00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BB8E5" w14:textId="77777777" w:rsidR="007A4073" w:rsidRPr="00766D91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8 212 712,91</w:t>
            </w:r>
          </w:p>
        </w:tc>
        <w:tc>
          <w:tcPr>
            <w:tcW w:w="1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0E249" w14:textId="77777777" w:rsidR="007A4073" w:rsidRPr="00766D91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7 832 660,00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5F417" w14:textId="77777777" w:rsidR="007A4073" w:rsidRPr="00766D91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766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19 844 372,91</w:t>
            </w:r>
          </w:p>
        </w:tc>
      </w:tr>
    </w:tbl>
    <w:p w14:paraId="6A53A225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05BFB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2019 roku gmina będzie musiała się zadłużyć na inwestycje rozpoczęte w latach ubiegłych.</w:t>
      </w:r>
    </w:p>
    <w:p w14:paraId="48556D4C" w14:textId="77777777" w:rsidR="007A4073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04ED088" w14:textId="77777777" w:rsidR="007A4073" w:rsidRPr="00766D91" w:rsidRDefault="007A4073" w:rsidP="007A40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66D91">
        <w:rPr>
          <w:rFonts w:ascii="Times New Roman" w:eastAsia="Times New Roman" w:hAnsi="Times New Roman" w:cs="Times New Roman"/>
          <w:sz w:val="24"/>
          <w:szCs w:val="24"/>
          <w:lang w:eastAsia="pl-PL"/>
        </w:rPr>
        <w:t>Kwota długu i obciążenie budżetu z tytułu spłaty przedstawia się w kolejnych latach budżetowych następująco:</w:t>
      </w:r>
    </w:p>
    <w:tbl>
      <w:tblPr>
        <w:tblW w:w="55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20"/>
        <w:gridCol w:w="2020"/>
        <w:gridCol w:w="2000"/>
      </w:tblGrid>
      <w:tr w:rsidR="007A4073" w:rsidRPr="00A80544" w14:paraId="6D37316E" w14:textId="77777777" w:rsidTr="00BC6B9B">
        <w:trPr>
          <w:trHeight w:val="660"/>
          <w:jc w:val="center"/>
        </w:trPr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AA2B5AB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0F2026CF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Kwota długu na koniec roku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14:paraId="5F7D83D3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Spłaty zadłużenia </w:t>
            </w:r>
          </w:p>
        </w:tc>
      </w:tr>
      <w:tr w:rsidR="007A4073" w:rsidRPr="00A80544" w14:paraId="192A0A7C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4BDC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B1D59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12 524 704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1C4DB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1 564 516</w:t>
            </w:r>
          </w:p>
        </w:tc>
      </w:tr>
      <w:tr w:rsidR="007A4073" w:rsidRPr="00A80544" w14:paraId="1E07D84B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0F383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D8D5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18 095 574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D411D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2 630 857</w:t>
            </w:r>
          </w:p>
        </w:tc>
      </w:tr>
      <w:tr w:rsidR="007A4073" w:rsidRPr="00A80544" w14:paraId="79E858FB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17829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2019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B783E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23 361 754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909A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2 566 480</w:t>
            </w:r>
          </w:p>
        </w:tc>
      </w:tr>
      <w:tr w:rsidR="007A4073" w:rsidRPr="00A80544" w14:paraId="685B0C09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A8AE5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5AD1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20 795 274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BE5C9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2 566 480</w:t>
            </w:r>
          </w:p>
        </w:tc>
      </w:tr>
      <w:tr w:rsidR="007A4073" w:rsidRPr="00A80544" w14:paraId="7C0A2A72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A212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2021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B3620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17 912 139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3C32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2 883 135</w:t>
            </w:r>
          </w:p>
        </w:tc>
      </w:tr>
      <w:tr w:rsidR="007A4073" w:rsidRPr="00A80544" w14:paraId="4BC0743F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B40EA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62142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16 245 172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6A910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1 666 967</w:t>
            </w:r>
          </w:p>
        </w:tc>
      </w:tr>
      <w:tr w:rsidR="007A4073" w:rsidRPr="00A80544" w14:paraId="0FCB701A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87FE3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2023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F00A1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14 316 660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02D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1 928 512</w:t>
            </w:r>
          </w:p>
        </w:tc>
      </w:tr>
      <w:tr w:rsidR="007A4073" w:rsidRPr="00A80544" w14:paraId="33A4C779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604D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2024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F0F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12 474 660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1180E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1 842 000</w:t>
            </w:r>
          </w:p>
        </w:tc>
      </w:tr>
      <w:tr w:rsidR="007A4073" w:rsidRPr="00A80544" w14:paraId="7409BCC5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5467F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E524D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10 482 660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177B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1 992 000</w:t>
            </w:r>
          </w:p>
        </w:tc>
      </w:tr>
      <w:tr w:rsidR="007A4073" w:rsidRPr="00A80544" w14:paraId="28BFA657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BD1C5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2026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B4450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8 532 660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8916D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1 950 000</w:t>
            </w:r>
          </w:p>
        </w:tc>
      </w:tr>
      <w:tr w:rsidR="007A4073" w:rsidRPr="00A80544" w14:paraId="2B08EDB9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D23BB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ABC1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6 532 660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D764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2 000 000</w:t>
            </w:r>
          </w:p>
        </w:tc>
      </w:tr>
      <w:tr w:rsidR="007A4073" w:rsidRPr="00A80544" w14:paraId="6DA2CCD4" w14:textId="77777777" w:rsidTr="00BC6B9B">
        <w:trPr>
          <w:trHeight w:val="300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963F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2028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49FAB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3 982 660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01C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2 550 000</w:t>
            </w:r>
          </w:p>
        </w:tc>
      </w:tr>
      <w:tr w:rsidR="007A4073" w:rsidRPr="00A80544" w14:paraId="36686DC5" w14:textId="77777777" w:rsidTr="00BC6B9B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8C81F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2029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1FE58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2 000 000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72879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1 982 660</w:t>
            </w:r>
          </w:p>
        </w:tc>
      </w:tr>
      <w:tr w:rsidR="007A4073" w:rsidRPr="00A80544" w14:paraId="7B77A5C2" w14:textId="77777777" w:rsidTr="00BC6B9B">
        <w:trPr>
          <w:trHeight w:val="285"/>
          <w:jc w:val="center"/>
        </w:trPr>
        <w:tc>
          <w:tcPr>
            <w:tcW w:w="1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7E0CD" w14:textId="77777777" w:rsidR="007A4073" w:rsidRPr="00A80544" w:rsidRDefault="007A4073" w:rsidP="00BC6B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2030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0830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F12F8" w14:textId="77777777" w:rsidR="007A4073" w:rsidRPr="00A80544" w:rsidRDefault="007A4073" w:rsidP="00BC6B9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A8054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2 000 000</w:t>
            </w:r>
          </w:p>
        </w:tc>
      </w:tr>
    </w:tbl>
    <w:p w14:paraId="381EF272" w14:textId="77777777" w:rsidR="007A4073" w:rsidRDefault="007A4073" w:rsidP="007A4073">
      <w:pPr>
        <w:rPr>
          <w:rFonts w:ascii="Arial" w:hAnsi="Arial" w:cs="Arial"/>
          <w:sz w:val="28"/>
          <w:szCs w:val="28"/>
        </w:rPr>
      </w:pPr>
    </w:p>
    <w:p w14:paraId="1647D9B5" w14:textId="77777777" w:rsidR="007A4073" w:rsidRPr="002021BC" w:rsidRDefault="007A4073" w:rsidP="007A4073">
      <w:pPr>
        <w:rPr>
          <w:rFonts w:ascii="Times New Roman" w:hAnsi="Times New Roman" w:cs="Times New Roman"/>
          <w:b/>
          <w:sz w:val="24"/>
          <w:szCs w:val="24"/>
        </w:rPr>
      </w:pPr>
      <w:r w:rsidRPr="002021BC">
        <w:rPr>
          <w:rFonts w:ascii="Times New Roman" w:hAnsi="Times New Roman" w:cs="Times New Roman"/>
          <w:b/>
          <w:sz w:val="24"/>
          <w:szCs w:val="24"/>
        </w:rPr>
        <w:t>ZMIANY WIELOLETNIEJ PROGNOZY FINANSOWEJ</w:t>
      </w:r>
    </w:p>
    <w:p w14:paraId="5D77A382" w14:textId="77777777" w:rsidR="007A4073" w:rsidRPr="002021BC" w:rsidRDefault="007A4073" w:rsidP="007A40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21BC">
        <w:rPr>
          <w:rFonts w:ascii="Times New Roman" w:hAnsi="Times New Roman" w:cs="Times New Roman"/>
          <w:b/>
          <w:sz w:val="24"/>
          <w:szCs w:val="24"/>
        </w:rPr>
        <w:t>Zmiana z dnia 28.03.2019 r.</w:t>
      </w:r>
    </w:p>
    <w:p w14:paraId="51C89941" w14:textId="77777777" w:rsidR="007A4073" w:rsidRDefault="007A4073" w:rsidP="007A40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AC2317" w14:textId="77777777" w:rsidR="007A4073" w:rsidRPr="002021BC" w:rsidRDefault="007A4073" w:rsidP="007A4073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Szczegółowe zmiany obejmują: </w:t>
      </w:r>
    </w:p>
    <w:p w14:paraId="41CADFFA" w14:textId="77777777" w:rsidR="007A4073" w:rsidRPr="002021BC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ktualizacja wartości dochodów i wydatków budżetu Gminy, w odniesieniu do wartości wynikających z Uchwały Nr IV/21/19 Rady Gminy Kobylanka z dnia 24.01.2019 r. w sprawie uchwalenia WPF Gminy Kobylanka na lata 2019-2030 - zmiany wielkości dochodów i wydatków 2019 roku wynikają z ustawowych kompetencji Wójta Gminy, w szczególności z wprowadzonych zarządzeń Wójta Gminy Kobylanka oraz w wyniku zmian wprowadzonych w niniejszej uchwale (poz. 1 i 2 WPF),</w:t>
      </w:r>
    </w:p>
    <w:p w14:paraId="1EFF639F" w14:textId="77777777" w:rsidR="007A4073" w:rsidRPr="002021BC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3" w:name="_Hlk6915537"/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Aktualizację wartości w zakresie prognozowanego wyniku budżetu i związanych z nim kwot przychodów w 2019 r., kwot rozchodów w latach 2021 –2030 oraz kwoty długu w latach 2019 –2030, wynikających ze zmiany przychodów z tytułu planowanej emisji obligacji komunalnych w 2019 roku (poz. 3, 4, 5 i 6 WPF</w:t>
      </w:r>
      <w:bookmarkEnd w:id="3"/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), w tym: </w:t>
      </w:r>
    </w:p>
    <w:p w14:paraId="469D9085" w14:textId="77777777" w:rsidR="007A4073" w:rsidRPr="002021BC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BE1C47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2019 roku:</w:t>
      </w:r>
    </w:p>
    <w:p w14:paraId="094FA118" w14:textId="77777777" w:rsidR="007A4073" w:rsidRPr="002021BC" w:rsidRDefault="007A4073" w:rsidP="007A40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deficytu o kwotę 30.963,39 zł,</w:t>
      </w:r>
    </w:p>
    <w:p w14:paraId="4EE3CC44" w14:textId="77777777" w:rsidR="007A4073" w:rsidRPr="002021BC" w:rsidRDefault="007A4073" w:rsidP="007A4073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przychodów o kwotę 30.963,39 zł,</w:t>
      </w:r>
    </w:p>
    <w:p w14:paraId="14202F89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1CC64A6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4" w:name="_Hlk3974898"/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2020 roku:</w:t>
      </w:r>
    </w:p>
    <w:bookmarkEnd w:id="4"/>
    <w:p w14:paraId="093E11E5" w14:textId="77777777" w:rsidR="007A4073" w:rsidRPr="002021BC" w:rsidRDefault="007A4073" w:rsidP="007A407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deficyt, przychody i rozchody nie uległy zmianie</w:t>
      </w:r>
    </w:p>
    <w:p w14:paraId="2D412CA6" w14:textId="77777777" w:rsidR="007A4073" w:rsidRPr="002021BC" w:rsidRDefault="007A4073" w:rsidP="007A4073">
      <w:pPr>
        <w:pStyle w:val="Akapitzlist"/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85AA775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2021 roku:</w:t>
      </w:r>
    </w:p>
    <w:p w14:paraId="08D71477" w14:textId="77777777" w:rsidR="007A4073" w:rsidRPr="002021BC" w:rsidRDefault="007A4073" w:rsidP="007A407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deficytu o kwotę 100.</w:t>
      </w:r>
      <w:bookmarkStart w:id="5" w:name="_Hlk3975966"/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000zł,</w:t>
      </w:r>
    </w:p>
    <w:p w14:paraId="3E38CE5B" w14:textId="77777777" w:rsidR="007A4073" w:rsidRPr="002021BC" w:rsidRDefault="007A4073" w:rsidP="007A4073">
      <w:pPr>
        <w:pStyle w:val="Akapitzlist"/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rozchodów o kwotę 100.000 zł,</w:t>
      </w:r>
    </w:p>
    <w:p w14:paraId="24514A95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DA70195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2022 rok</w:t>
      </w:r>
      <w:bookmarkEnd w:id="5"/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u:</w:t>
      </w:r>
    </w:p>
    <w:p w14:paraId="6AF48798" w14:textId="77777777" w:rsidR="007A4073" w:rsidRPr="002021BC" w:rsidRDefault="007A4073" w:rsidP="007A40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deficytu o kwotę 100.000 zł,</w:t>
      </w:r>
    </w:p>
    <w:p w14:paraId="4202C396" w14:textId="77777777" w:rsidR="007A4073" w:rsidRPr="002021BC" w:rsidRDefault="007A4073" w:rsidP="007A4073">
      <w:pPr>
        <w:pStyle w:val="Akapitzlist"/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rozchodów o kwotę 100.000 zł,</w:t>
      </w:r>
    </w:p>
    <w:p w14:paraId="7F162496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867931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2023 roku:</w:t>
      </w:r>
    </w:p>
    <w:p w14:paraId="34E41974" w14:textId="77777777" w:rsidR="007A4073" w:rsidRPr="002021BC" w:rsidRDefault="007A4073" w:rsidP="007A407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deficytu o kwotę 200.000zł,</w:t>
      </w:r>
    </w:p>
    <w:p w14:paraId="2DB14A03" w14:textId="77777777" w:rsidR="007A4073" w:rsidRPr="002021BC" w:rsidRDefault="007A4073" w:rsidP="007A4073">
      <w:pPr>
        <w:pStyle w:val="Akapitzlist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rozchodów o kwotę 200.000 zł,</w:t>
      </w:r>
    </w:p>
    <w:p w14:paraId="05712AE3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86F91D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6" w:name="_Hlk3975370"/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2024 roku:</w:t>
      </w:r>
    </w:p>
    <w:p w14:paraId="120FC5A6" w14:textId="77777777" w:rsidR="007A4073" w:rsidRPr="002021BC" w:rsidRDefault="007A4073" w:rsidP="007A407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deficyt, przychody i rozchody nie uległy zmianie</w:t>
      </w:r>
    </w:p>
    <w:bookmarkEnd w:id="6"/>
    <w:p w14:paraId="021E2B4E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A6FF313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2025 roku:</w:t>
      </w:r>
    </w:p>
    <w:p w14:paraId="13CD1266" w14:textId="77777777" w:rsidR="007A4073" w:rsidRPr="002021BC" w:rsidRDefault="007A4073" w:rsidP="007A407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deficytu o kwotę 100.000 zł,</w:t>
      </w:r>
    </w:p>
    <w:p w14:paraId="3D478C27" w14:textId="77777777" w:rsidR="007A4073" w:rsidRPr="002021BC" w:rsidRDefault="007A4073" w:rsidP="007A4073">
      <w:pPr>
        <w:pStyle w:val="Akapitzlist"/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rozchodów o kwotę 100.000 zł,</w:t>
      </w:r>
    </w:p>
    <w:p w14:paraId="7CD87760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7689B75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2026 roku:</w:t>
      </w:r>
    </w:p>
    <w:p w14:paraId="23209B77" w14:textId="77777777" w:rsidR="007A4073" w:rsidRPr="002021BC" w:rsidRDefault="007A4073" w:rsidP="007A40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deficytu o kwotę 100.000 zł,</w:t>
      </w:r>
    </w:p>
    <w:p w14:paraId="34F8F468" w14:textId="77777777" w:rsidR="007A4073" w:rsidRPr="002021BC" w:rsidRDefault="007A4073" w:rsidP="007A407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rozchodów o kwotę 100.000 zł,</w:t>
      </w:r>
    </w:p>
    <w:p w14:paraId="4DC4FAE5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8D9F71D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2027 roku:</w:t>
      </w:r>
    </w:p>
    <w:p w14:paraId="7CE9D7CB" w14:textId="77777777" w:rsidR="007A4073" w:rsidRPr="002021BC" w:rsidRDefault="007A4073" w:rsidP="007A407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deficytu o kwotę 100.000 zł,</w:t>
      </w:r>
    </w:p>
    <w:p w14:paraId="320872CB" w14:textId="77777777" w:rsidR="007A4073" w:rsidRPr="002021BC" w:rsidRDefault="007A4073" w:rsidP="007A4073">
      <w:pPr>
        <w:pStyle w:val="Akapitzlist"/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zwiększenie rozchodów o kwotę 100.000 zł,</w:t>
      </w:r>
    </w:p>
    <w:p w14:paraId="0928ACE4" w14:textId="77777777" w:rsidR="007A4073" w:rsidRPr="002021BC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87D63D1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2028 roku:</w:t>
      </w:r>
    </w:p>
    <w:p w14:paraId="7D6B4394" w14:textId="77777777" w:rsidR="007A4073" w:rsidRPr="002021BC" w:rsidRDefault="007A4073" w:rsidP="007A407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deficytu o kwotę 50.000 zł,</w:t>
      </w:r>
    </w:p>
    <w:p w14:paraId="170C924F" w14:textId="77777777" w:rsidR="007A4073" w:rsidRPr="002021BC" w:rsidRDefault="007A4073" w:rsidP="007A4073">
      <w:pPr>
        <w:pStyle w:val="Akapitzlist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rozchodów o kwotę 50.000 zł,</w:t>
      </w:r>
    </w:p>
    <w:p w14:paraId="585598D2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6D48C00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2029 roku:</w:t>
      </w:r>
    </w:p>
    <w:p w14:paraId="030BC26E" w14:textId="77777777" w:rsidR="007A4073" w:rsidRPr="002021BC" w:rsidRDefault="007A4073" w:rsidP="007A407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deficytu o kwotę 52.660 zł,</w:t>
      </w:r>
    </w:p>
    <w:p w14:paraId="752EB50C" w14:textId="77777777" w:rsidR="007A4073" w:rsidRPr="002021BC" w:rsidRDefault="007A4073" w:rsidP="007A4073">
      <w:pPr>
        <w:pStyle w:val="Akapitzlist"/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zmniejszenie rozchodów o kwotę 52.660 zł,</w:t>
      </w:r>
    </w:p>
    <w:p w14:paraId="1BE48B52" w14:textId="77777777" w:rsidR="007A4073" w:rsidRPr="002021BC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C179DE" w14:textId="77777777" w:rsidR="007A4073" w:rsidRPr="002021BC" w:rsidRDefault="007A4073" w:rsidP="007A4073">
      <w:pPr>
        <w:spacing w:after="0" w:line="240" w:lineRule="auto"/>
        <w:ind w:left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 2030 roku:</w:t>
      </w:r>
    </w:p>
    <w:p w14:paraId="7E6D1283" w14:textId="77777777" w:rsidR="007A4073" w:rsidRPr="002021BC" w:rsidRDefault="007A4073" w:rsidP="007A4073">
      <w:pPr>
        <w:pStyle w:val="Akapitzlist"/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deficyt, przychody i rozchody nie uległy zmianie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96C15C4" w14:textId="77777777" w:rsidR="007A4073" w:rsidRPr="002021BC" w:rsidRDefault="007A4073" w:rsidP="007A40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28BC285" w14:textId="77777777" w:rsidR="007A4073" w:rsidRPr="002021BC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Aktualizację wskaźnika planowanej łącznej kwoty zobowiązań i dopuszczalnego wskaźnika spłaty zobowiązań w latach 2019 –2030 (poz. 9 WPF),</w:t>
      </w:r>
    </w:p>
    <w:p w14:paraId="46B21247" w14:textId="77777777" w:rsidR="007A4073" w:rsidRPr="002021BC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Aktualizację informacji uzupełniających o wybranych rodzajach wydatków budżetowych (poz. 11 WPF),</w:t>
      </w:r>
    </w:p>
    <w:p w14:paraId="3873FCD8" w14:textId="77777777" w:rsidR="007A4073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Aktualizację finasowania programów, projektów z udziałem środków, o których mowa w art. 5 ust. 1 pkt 2 i 3 ustawy o finansach publicznych (poz.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4B7CD26" w14:textId="31B93228" w:rsidR="007A4073" w:rsidRPr="002C6829" w:rsidRDefault="007A4073" w:rsidP="007A4073">
      <w:pPr>
        <w:pStyle w:val="Akapitzlist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C6829">
        <w:rPr>
          <w:rFonts w:ascii="Times New Roman" w:eastAsia="Times New Roman" w:hAnsi="Times New Roman" w:cs="Times New Roman"/>
          <w:sz w:val="24"/>
          <w:szCs w:val="24"/>
          <w:lang w:eastAsia="pl-PL"/>
        </w:rPr>
        <w:t>Zmiany limitów wydatków bieżących i majątkowych przedsięwzięcia „SKM. Linia 351: Budowa, w ramach przystanków przesiadkowych, parkingu P&amp;R i B&amp;R oraz urz</w:t>
      </w:r>
      <w:r w:rsid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2C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dzeń związanych z integracją transportu: 1. Przystanek </w:t>
      </w:r>
      <w:proofErr w:type="spellStart"/>
      <w:r w:rsidRPr="002C6829">
        <w:rPr>
          <w:rFonts w:ascii="Times New Roman" w:eastAsia="Times New Roman" w:hAnsi="Times New Roman" w:cs="Times New Roman"/>
          <w:sz w:val="24"/>
          <w:szCs w:val="24"/>
          <w:lang w:eastAsia="pl-PL"/>
        </w:rPr>
        <w:t>Miedwiecko</w:t>
      </w:r>
      <w:proofErr w:type="spellEnd"/>
      <w:r w:rsidRPr="002C68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2. Przystanek Reptowo” w latach 2019-2021. Zmiany wynikają z wytycznych Lidera projektu - Stowarzyszenia Szczecińskiego Obszaru Metropolitalnego w zakresie sposobu finansowania wydatków. </w:t>
      </w:r>
    </w:p>
    <w:p w14:paraId="2A460D1D" w14:textId="77777777" w:rsidR="007A4073" w:rsidRPr="002021BC" w:rsidRDefault="007A4073" w:rsidP="007A4073">
      <w:pPr>
        <w:tabs>
          <w:tab w:val="left" w:pos="284"/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C71D0FF" w14:textId="77777777" w:rsidR="007A4073" w:rsidRPr="008C2B76" w:rsidRDefault="007A4073" w:rsidP="007A4073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B76">
        <w:rPr>
          <w:rFonts w:ascii="Times New Roman" w:hAnsi="Times New Roman" w:cs="Times New Roman"/>
          <w:b/>
          <w:sz w:val="24"/>
          <w:szCs w:val="24"/>
        </w:rPr>
        <w:t>Zmiana z dnia 28.03.2019 r.</w:t>
      </w:r>
    </w:p>
    <w:p w14:paraId="156BC113" w14:textId="77777777" w:rsidR="007A4073" w:rsidRPr="008C2B76" w:rsidRDefault="007A4073" w:rsidP="007A4073">
      <w:pPr>
        <w:rPr>
          <w:rFonts w:ascii="Times New Roman" w:hAnsi="Times New Roman" w:cs="Times New Roman"/>
          <w:sz w:val="24"/>
          <w:szCs w:val="24"/>
        </w:rPr>
      </w:pPr>
      <w:r w:rsidRPr="008C2B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Aktualizacja wartości przychodów do uchwalonych w uchwale Rady Gminy Kobylanka </w:t>
      </w:r>
      <w:r w:rsidRPr="008C2B76">
        <w:rPr>
          <w:rFonts w:ascii="Times New Roman" w:hAnsi="Times New Roman" w:cs="Times New Roman"/>
          <w:bCs/>
          <w:color w:val="000000"/>
          <w:sz w:val="24"/>
          <w:szCs w:val="24"/>
        </w:rPr>
        <w:t>Nr IV/21/19 z dnia 24 stycznia 2019 r.</w:t>
      </w:r>
    </w:p>
    <w:p w14:paraId="0484558D" w14:textId="6C749C13" w:rsidR="0030281A" w:rsidRPr="008C2B76" w:rsidRDefault="0030281A" w:rsidP="0030281A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2B76">
        <w:rPr>
          <w:rFonts w:ascii="Times New Roman" w:hAnsi="Times New Roman" w:cs="Times New Roman"/>
          <w:b/>
          <w:sz w:val="24"/>
          <w:szCs w:val="24"/>
        </w:rPr>
        <w:t xml:space="preserve">Zmiana z dnia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8C2B76">
        <w:rPr>
          <w:rFonts w:ascii="Times New Roman" w:hAnsi="Times New Roman" w:cs="Times New Roman"/>
          <w:b/>
          <w:sz w:val="24"/>
          <w:szCs w:val="24"/>
        </w:rPr>
        <w:t>8.0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8C2B76">
        <w:rPr>
          <w:rFonts w:ascii="Times New Roman" w:hAnsi="Times New Roman" w:cs="Times New Roman"/>
          <w:b/>
          <w:sz w:val="24"/>
          <w:szCs w:val="24"/>
        </w:rPr>
        <w:t>.2019 r.</w:t>
      </w:r>
    </w:p>
    <w:p w14:paraId="28148ED8" w14:textId="77777777" w:rsidR="00760479" w:rsidRDefault="00760479" w:rsidP="00202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21BF5" w14:textId="532C810E" w:rsidR="00ED0D8A" w:rsidRPr="002021BC" w:rsidRDefault="00ED0D8A" w:rsidP="002021BC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Szczegółowe zmiany obejmują: </w:t>
      </w:r>
    </w:p>
    <w:p w14:paraId="59174DDC" w14:textId="5D214A9D" w:rsidR="00ED0D8A" w:rsidRDefault="002C6829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ED0D8A"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ktualizacja wartości wydatków budżetu Gminy, w odniesieniu do wartości wynikających z Uchwały Nr IV/21/19 Rady Gminy Kobylanka z dnia 24.01.2019 r. w sprawie uchwalenia WPF Gminy Kobylanka na lata 2019-2030 - zmiany wielkości </w:t>
      </w:r>
      <w:r w:rsidR="00D6359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dochodów i </w:t>
      </w:r>
      <w:r w:rsidR="00ED0D8A"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wydatków 2019 roku wynikają z ustawowych kompetencji Wójta Gminy, w szczególności z wprowadzonych zarządzeń Wójta Gminy Kobylanka oraz w wyniku zmian wprowadzonych w niniejszej uchwale (poz. 1 i 2 WPF),</w:t>
      </w:r>
    </w:p>
    <w:p w14:paraId="204CB8F8" w14:textId="212827B1" w:rsidR="00760479" w:rsidRPr="00D6359F" w:rsidRDefault="00D6359F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6359F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Aktualizację wartości w zakresie prognozowanego wyniku budżetu i związanych z nim kwot przychodów w 2019 r. oraz kwoty długu w latach 2019 –2030 (poz. 3, 4 i 6 WPF)</w:t>
      </w:r>
    </w:p>
    <w:p w14:paraId="2F92F3D9" w14:textId="0829694A" w:rsidR="002021BC" w:rsidRPr="002021BC" w:rsidRDefault="002021BC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Aktualizację wskaźnika planowanej łącznej kwoty zobowiązań i dopuszczalnego wskaźnika spłaty zobowiązań w latach 2019 –2030 (poz. 9 WPF),</w:t>
      </w:r>
    </w:p>
    <w:p w14:paraId="7D20562E" w14:textId="77777777" w:rsidR="002021BC" w:rsidRPr="002021BC" w:rsidRDefault="002021BC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7" w:name="_Hlk3976082"/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Aktualizację informacji uzupełniających o wybranych rodzajach wydatków budżetowych (poz. 11 WPF),</w:t>
      </w:r>
    </w:p>
    <w:bookmarkEnd w:id="7"/>
    <w:p w14:paraId="77564E35" w14:textId="509484E1" w:rsidR="00ED0D8A" w:rsidRDefault="002021BC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Aktualizację finasowania programów, projektów z udziałem środków, o których mowa w art. 5 ust. 1 pkt 2 i 3 ustawy o finansach publicznych (poz. 1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2021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WPF)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B3FC818" w14:textId="0893B168" w:rsidR="00ED0D8A" w:rsidRDefault="002C6829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>Zmian</w:t>
      </w:r>
      <w:r w:rsidR="00760479"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limit</w:t>
      </w:r>
      <w:r w:rsidR="00760479"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wydatków przedsięwzięcia „</w:t>
      </w:r>
      <w:r w:rsidR="00760479"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>Przeciwdziałanie wykluczeniu cyfrowemu -Internet dla mieszkańców Gminy Kobylanka</w:t>
      </w:r>
      <w:r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w </w:t>
      </w:r>
      <w:r w:rsidR="00760479"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>roku</w:t>
      </w:r>
      <w:r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2019. Zmiany wynikają z </w:t>
      </w:r>
      <w:r w:rsidR="00760479"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>Uchwały Nr XII.80.S.2019 Kolegium Regionalnej Izby Obrachunkowej w Szczecinie z dnia 20 marca 2019 r.</w:t>
      </w:r>
    </w:p>
    <w:p w14:paraId="61B6ECF1" w14:textId="0C29AA41" w:rsidR="00AD1FD1" w:rsidRPr="0030281A" w:rsidRDefault="00AD1FD1" w:rsidP="00D6359F">
      <w:pPr>
        <w:pStyle w:val="Akapitzlist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0281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Zmiana limitu wydatków przedsięwzięcia „Przebudowa drogi gminnej 450002Z relacji Reptowo - Morzyczyn (do skrzyżowania z ulicą Długą)” w roku 2019 i 2023. Planuje się sporządzenie dokumentacji w 2019 roku w celu ubiegania się o dofinansowanie z Funduszu Dróg Samorządowych. </w:t>
      </w:r>
    </w:p>
    <w:p w14:paraId="58EC3861" w14:textId="77777777" w:rsidR="00ED0D8A" w:rsidRPr="002021BC" w:rsidRDefault="00ED0D8A" w:rsidP="00ED0D8A">
      <w:pPr>
        <w:tabs>
          <w:tab w:val="left" w:pos="284"/>
          <w:tab w:val="left" w:pos="709"/>
        </w:tabs>
        <w:spacing w:after="0" w:line="36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4538CCF" w14:textId="4AFB61E3" w:rsidR="00760479" w:rsidRPr="00760479" w:rsidRDefault="00760479" w:rsidP="00760479">
      <w:pPr>
        <w:rPr>
          <w:rFonts w:ascii="Times New Roman" w:hAnsi="Times New Roman" w:cs="Times New Roman"/>
          <w:sz w:val="24"/>
          <w:szCs w:val="24"/>
        </w:rPr>
      </w:pPr>
    </w:p>
    <w:sectPr w:rsidR="00760479" w:rsidRPr="00760479" w:rsidSect="00E708C6">
      <w:pgSz w:w="11906" w:h="16838"/>
      <w:pgMar w:top="1418" w:right="102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6591B2" w14:textId="77777777" w:rsidR="008B7BA9" w:rsidRDefault="008B7BA9" w:rsidP="004D2C9F">
      <w:pPr>
        <w:spacing w:after="0" w:line="240" w:lineRule="auto"/>
      </w:pPr>
      <w:r>
        <w:separator/>
      </w:r>
    </w:p>
  </w:endnote>
  <w:endnote w:type="continuationSeparator" w:id="0">
    <w:p w14:paraId="69EC195C" w14:textId="77777777" w:rsidR="008B7BA9" w:rsidRDefault="008B7BA9" w:rsidP="004D2C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AA3762" w14:textId="77777777" w:rsidR="008B7BA9" w:rsidRDefault="008B7BA9" w:rsidP="004D2C9F">
      <w:pPr>
        <w:spacing w:after="0" w:line="240" w:lineRule="auto"/>
      </w:pPr>
      <w:r>
        <w:separator/>
      </w:r>
    </w:p>
  </w:footnote>
  <w:footnote w:type="continuationSeparator" w:id="0">
    <w:p w14:paraId="1241B9E6" w14:textId="77777777" w:rsidR="008B7BA9" w:rsidRDefault="008B7BA9" w:rsidP="004D2C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0A1B"/>
    <w:multiLevelType w:val="hybridMultilevel"/>
    <w:tmpl w:val="D7683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04497"/>
    <w:multiLevelType w:val="hybridMultilevel"/>
    <w:tmpl w:val="B7165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F3156"/>
    <w:multiLevelType w:val="hybridMultilevel"/>
    <w:tmpl w:val="FC5AD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351"/>
    <w:multiLevelType w:val="hybridMultilevel"/>
    <w:tmpl w:val="84DA49A4"/>
    <w:lvl w:ilvl="0" w:tplc="88824C5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E5983"/>
    <w:multiLevelType w:val="hybridMultilevel"/>
    <w:tmpl w:val="881065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D603D"/>
    <w:multiLevelType w:val="hybridMultilevel"/>
    <w:tmpl w:val="A0DCAB1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8F53AD"/>
    <w:multiLevelType w:val="hybridMultilevel"/>
    <w:tmpl w:val="44945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3A7CC1"/>
    <w:multiLevelType w:val="hybridMultilevel"/>
    <w:tmpl w:val="39027604"/>
    <w:lvl w:ilvl="0" w:tplc="0415000F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abstractNum w:abstractNumId="8">
    <w:nsid w:val="2CF03008"/>
    <w:multiLevelType w:val="hybridMultilevel"/>
    <w:tmpl w:val="08726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F573F2"/>
    <w:multiLevelType w:val="hybridMultilevel"/>
    <w:tmpl w:val="D4929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116CE0"/>
    <w:multiLevelType w:val="hybridMultilevel"/>
    <w:tmpl w:val="4E80D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CB49C8"/>
    <w:multiLevelType w:val="hybridMultilevel"/>
    <w:tmpl w:val="7FD202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0615443"/>
    <w:multiLevelType w:val="hybridMultilevel"/>
    <w:tmpl w:val="AC8852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D962FE"/>
    <w:multiLevelType w:val="hybridMultilevel"/>
    <w:tmpl w:val="117657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7EF3681"/>
    <w:multiLevelType w:val="hybridMultilevel"/>
    <w:tmpl w:val="B2D29D2C"/>
    <w:lvl w:ilvl="0" w:tplc="E2543E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85D2F0E"/>
    <w:multiLevelType w:val="hybridMultilevel"/>
    <w:tmpl w:val="F5324772"/>
    <w:lvl w:ilvl="0" w:tplc="BFF233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E30708"/>
    <w:multiLevelType w:val="hybridMultilevel"/>
    <w:tmpl w:val="F13084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7A45CA1"/>
    <w:multiLevelType w:val="hybridMultilevel"/>
    <w:tmpl w:val="B4B2B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45952EE"/>
    <w:multiLevelType w:val="hybridMultilevel"/>
    <w:tmpl w:val="6276C8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A62BEC"/>
    <w:multiLevelType w:val="hybridMultilevel"/>
    <w:tmpl w:val="54046E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79F4E3F"/>
    <w:multiLevelType w:val="hybridMultilevel"/>
    <w:tmpl w:val="0BBCAF1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9D07178"/>
    <w:multiLevelType w:val="hybridMultilevel"/>
    <w:tmpl w:val="8BC48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D0E619D"/>
    <w:multiLevelType w:val="hybridMultilevel"/>
    <w:tmpl w:val="2AC8A8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7"/>
  </w:num>
  <w:num w:numId="4">
    <w:abstractNumId w:val="14"/>
  </w:num>
  <w:num w:numId="5">
    <w:abstractNumId w:val="3"/>
  </w:num>
  <w:num w:numId="6">
    <w:abstractNumId w:val="8"/>
  </w:num>
  <w:num w:numId="7">
    <w:abstractNumId w:val="16"/>
  </w:num>
  <w:num w:numId="8">
    <w:abstractNumId w:val="5"/>
  </w:num>
  <w:num w:numId="9">
    <w:abstractNumId w:val="0"/>
  </w:num>
  <w:num w:numId="10">
    <w:abstractNumId w:val="4"/>
  </w:num>
  <w:num w:numId="11">
    <w:abstractNumId w:val="17"/>
  </w:num>
  <w:num w:numId="12">
    <w:abstractNumId w:val="9"/>
  </w:num>
  <w:num w:numId="13">
    <w:abstractNumId w:val="18"/>
  </w:num>
  <w:num w:numId="14">
    <w:abstractNumId w:val="2"/>
  </w:num>
  <w:num w:numId="15">
    <w:abstractNumId w:val="12"/>
  </w:num>
  <w:num w:numId="16">
    <w:abstractNumId w:val="13"/>
  </w:num>
  <w:num w:numId="17">
    <w:abstractNumId w:val="22"/>
  </w:num>
  <w:num w:numId="18">
    <w:abstractNumId w:val="11"/>
  </w:num>
  <w:num w:numId="19">
    <w:abstractNumId w:val="10"/>
  </w:num>
  <w:num w:numId="20">
    <w:abstractNumId w:val="21"/>
  </w:num>
  <w:num w:numId="21">
    <w:abstractNumId w:val="20"/>
  </w:num>
  <w:num w:numId="22">
    <w:abstractNumId w:val="1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D91"/>
    <w:rsid w:val="00040622"/>
    <w:rsid w:val="000C3991"/>
    <w:rsid w:val="0017403B"/>
    <w:rsid w:val="001E66AA"/>
    <w:rsid w:val="002021BC"/>
    <w:rsid w:val="00205DC7"/>
    <w:rsid w:val="00285864"/>
    <w:rsid w:val="002C6829"/>
    <w:rsid w:val="0030281A"/>
    <w:rsid w:val="003C2C27"/>
    <w:rsid w:val="003D650C"/>
    <w:rsid w:val="00465CFA"/>
    <w:rsid w:val="00475C4A"/>
    <w:rsid w:val="004D2C9F"/>
    <w:rsid w:val="00510A80"/>
    <w:rsid w:val="005A3EA2"/>
    <w:rsid w:val="005E6702"/>
    <w:rsid w:val="0063515B"/>
    <w:rsid w:val="0072051C"/>
    <w:rsid w:val="00727A74"/>
    <w:rsid w:val="00734923"/>
    <w:rsid w:val="00760479"/>
    <w:rsid w:val="00766D91"/>
    <w:rsid w:val="00792ADC"/>
    <w:rsid w:val="007A4073"/>
    <w:rsid w:val="00865B8B"/>
    <w:rsid w:val="008B6B26"/>
    <w:rsid w:val="008B7BA9"/>
    <w:rsid w:val="008C2B76"/>
    <w:rsid w:val="008C63DC"/>
    <w:rsid w:val="00A144AA"/>
    <w:rsid w:val="00A80544"/>
    <w:rsid w:val="00AD1FD1"/>
    <w:rsid w:val="00B56752"/>
    <w:rsid w:val="00CE5EB2"/>
    <w:rsid w:val="00CF2126"/>
    <w:rsid w:val="00D41CE9"/>
    <w:rsid w:val="00D6359F"/>
    <w:rsid w:val="00E708C6"/>
    <w:rsid w:val="00EA2B0F"/>
    <w:rsid w:val="00ED0D8A"/>
    <w:rsid w:val="00FC3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35B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C9F"/>
  </w:style>
  <w:style w:type="paragraph" w:styleId="Stopka">
    <w:name w:val="footer"/>
    <w:basedOn w:val="Normalny"/>
    <w:link w:val="Stopka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C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0D8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2C9F"/>
  </w:style>
  <w:style w:type="paragraph" w:styleId="Stopka">
    <w:name w:val="footer"/>
    <w:basedOn w:val="Normalny"/>
    <w:link w:val="StopkaZnak"/>
    <w:uiPriority w:val="99"/>
    <w:unhideWhenUsed/>
    <w:rsid w:val="004D2C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2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5</Pages>
  <Words>1927</Words>
  <Characters>11567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bhok</dc:creator>
  <cp:keywords/>
  <dc:description/>
  <cp:lastModifiedBy>jbaszak</cp:lastModifiedBy>
  <cp:revision>18</cp:revision>
  <cp:lastPrinted>2019-04-08T12:51:00Z</cp:lastPrinted>
  <dcterms:created xsi:type="dcterms:W3CDTF">2019-03-20T10:35:00Z</dcterms:created>
  <dcterms:modified xsi:type="dcterms:W3CDTF">2019-04-24T09:29:00Z</dcterms:modified>
</cp:coreProperties>
</file>