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0BB0" w14:textId="379B06D4" w:rsidR="00633D7E" w:rsidRPr="00633D7E" w:rsidRDefault="007B05A5" w:rsidP="00633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633D7E" w:rsidRPr="00633D7E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481617">
        <w:rPr>
          <w:rFonts w:ascii="Times New Roman" w:hAnsi="Times New Roman" w:cs="Times New Roman"/>
          <w:sz w:val="20"/>
          <w:szCs w:val="20"/>
        </w:rPr>
        <w:t>2</w:t>
      </w:r>
      <w:r w:rsidR="00633D7E" w:rsidRPr="00633D7E">
        <w:rPr>
          <w:rFonts w:ascii="Times New Roman" w:hAnsi="Times New Roman" w:cs="Times New Roman"/>
          <w:sz w:val="20"/>
          <w:szCs w:val="20"/>
        </w:rPr>
        <w:t xml:space="preserve"> do </w:t>
      </w:r>
      <w:r w:rsidR="00481617">
        <w:rPr>
          <w:rFonts w:ascii="Times New Roman" w:hAnsi="Times New Roman" w:cs="Times New Roman"/>
          <w:sz w:val="20"/>
          <w:szCs w:val="20"/>
        </w:rPr>
        <w:t xml:space="preserve">Uchwały </w:t>
      </w:r>
      <w:r w:rsidR="00122648">
        <w:rPr>
          <w:rFonts w:ascii="Times New Roman" w:hAnsi="Times New Roman" w:cs="Times New Roman"/>
          <w:sz w:val="20"/>
          <w:szCs w:val="20"/>
        </w:rPr>
        <w:t>Nr</w:t>
      </w:r>
      <w:r w:rsidR="00BE342F">
        <w:rPr>
          <w:rFonts w:ascii="Times New Roman" w:hAnsi="Times New Roman" w:cs="Times New Roman"/>
          <w:sz w:val="20"/>
          <w:szCs w:val="20"/>
        </w:rPr>
        <w:t xml:space="preserve"> </w:t>
      </w:r>
      <w:r w:rsidR="00E52AE7">
        <w:rPr>
          <w:rFonts w:ascii="Times New Roman" w:hAnsi="Times New Roman" w:cs="Times New Roman"/>
          <w:sz w:val="20"/>
          <w:szCs w:val="20"/>
        </w:rPr>
        <w:t>XXXIV/209/21</w:t>
      </w:r>
      <w:r w:rsidR="00997318">
        <w:rPr>
          <w:rFonts w:ascii="Times New Roman" w:hAnsi="Times New Roman" w:cs="Times New Roman"/>
          <w:sz w:val="20"/>
          <w:szCs w:val="20"/>
        </w:rPr>
        <w:t xml:space="preserve"> </w:t>
      </w:r>
      <w:r w:rsidR="00481617">
        <w:rPr>
          <w:rFonts w:ascii="Times New Roman" w:hAnsi="Times New Roman" w:cs="Times New Roman"/>
          <w:sz w:val="20"/>
          <w:szCs w:val="20"/>
        </w:rPr>
        <w:t xml:space="preserve">Rady Gminy Kobylanka z dnia </w:t>
      </w:r>
      <w:r w:rsidR="00E52AE7">
        <w:rPr>
          <w:rFonts w:ascii="Times New Roman" w:hAnsi="Times New Roman" w:cs="Times New Roman"/>
          <w:sz w:val="20"/>
          <w:szCs w:val="20"/>
        </w:rPr>
        <w:t>29.06.2021 r.</w:t>
      </w:r>
    </w:p>
    <w:p w14:paraId="359EB59E" w14:textId="4C1B0EC6" w:rsidR="00633D7E" w:rsidRPr="00633D7E" w:rsidRDefault="00633D7E" w:rsidP="00633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D7E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 Gminy Kobylanka na lata 202</w:t>
      </w:r>
      <w:r w:rsidR="00874E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33D7E">
        <w:rPr>
          <w:rFonts w:ascii="Times New Roman" w:hAnsi="Times New Roman" w:cs="Times New Roman"/>
          <w:b/>
          <w:bCs/>
          <w:sz w:val="24"/>
          <w:szCs w:val="24"/>
        </w:rPr>
        <w:t>-2030</w:t>
      </w:r>
    </w:p>
    <w:p w14:paraId="48D18840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64CB01" w14:textId="4844247B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E2">
        <w:rPr>
          <w:rFonts w:ascii="Times New Roman" w:hAnsi="Times New Roman" w:cs="Times New Roman"/>
          <w:sz w:val="24"/>
          <w:szCs w:val="24"/>
        </w:rPr>
        <w:t>Wieloletnia Prognoza Finansowa</w:t>
      </w:r>
      <w:r w:rsidRPr="00283E4C">
        <w:rPr>
          <w:rFonts w:ascii="Times New Roman" w:hAnsi="Times New Roman" w:cs="Times New Roman"/>
          <w:sz w:val="24"/>
          <w:szCs w:val="24"/>
        </w:rPr>
        <w:t xml:space="preserve"> (WPF), której obowiązek  sporządzania wprowadzony został przepisami Ustawy o finansach publicznych z 27 sierpnia 2009 roku (Ustawa), jest instrumentem nowoczesnego zarządzania finansami publicznymi. Wieloletnia prognoza finansowa sporządzana jest w celu przeprowadzenia oceny sytuacji finansowej jednostki samorządu terytorialnego przez organy JST, jej mieszkańców, instytucje finansowe, organy nadzoru oraz wszystkich pozostałych zainteresowanych. Tworzenie projekcji dochodów i wydatków budżetowych obrazujących sytuację finansową Jednostki Samorządu Terytorialnego w przyszłych latach pozwala na dokonanie analizy możliwości inwestycyjnych JST oraz ocenę jej zdolności kredytowej. </w:t>
      </w:r>
    </w:p>
    <w:p w14:paraId="1ACCB158" w14:textId="203412AA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Wieloletnia Prognoza Finansowa Gminy Kobylanka przygotowana została na lata 202</w:t>
      </w:r>
      <w:r w:rsidR="00874EE2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>–2030. Długość okresu objętego prognozą wynika z art. 227 ust. 2 Ustawy z dnia 27 sierpnia 2009 roku o finansach publicznych. Z brzmienia przepisu wynika, że prognozę należy sporządzić na okres, na który zaciągnięto oraz planuje się zaciągnąć zobowiązania. Ostatni rok spłaty planowanych do zaciągnięcia przez Gminę zobowiązań przypada na rok 2030.</w:t>
      </w:r>
    </w:p>
    <w:p w14:paraId="39BC377D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Wartości przyjęte w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 xml:space="preserve">WPF </w:t>
      </w:r>
      <w:r w:rsidRPr="00283E4C">
        <w:rPr>
          <w:rFonts w:ascii="Times New Roman" w:hAnsi="Times New Roman" w:cs="Times New Roman"/>
          <w:sz w:val="24"/>
          <w:szCs w:val="24"/>
        </w:rPr>
        <w:t xml:space="preserve">i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Uchwale budżetowej</w:t>
      </w:r>
      <w:r w:rsidRPr="00283E4C">
        <w:rPr>
          <w:rFonts w:ascii="Times New Roman" w:hAnsi="Times New Roman" w:cs="Times New Roman"/>
          <w:sz w:val="24"/>
          <w:szCs w:val="24"/>
        </w:rPr>
        <w:t xml:space="preserve"> powinny być zgodne, co najmniej w zakresie wyniku budżetu i związanych z nimi kwot przychodów i rozchodów oraz długu.</w:t>
      </w:r>
    </w:p>
    <w:p w14:paraId="04A98AEF" w14:textId="5067B6AA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Część obowiązująca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Wieloletniej Prognozy Finansowej</w:t>
      </w:r>
      <w:r w:rsidRPr="00283E4C">
        <w:rPr>
          <w:rFonts w:ascii="Times New Roman" w:hAnsi="Times New Roman" w:cs="Times New Roman"/>
          <w:sz w:val="24"/>
          <w:szCs w:val="24"/>
        </w:rPr>
        <w:t xml:space="preserve"> na 202</w:t>
      </w:r>
      <w:r w:rsidR="009B66B0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 xml:space="preserve"> rok i lata następne spełnia wymogi ustawy o finansach publicznych z dnia 27 sierpnia 2009 roku.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WPF</w:t>
      </w:r>
      <w:r w:rsidRPr="00283E4C">
        <w:rPr>
          <w:rFonts w:ascii="Times New Roman" w:hAnsi="Times New Roman" w:cs="Times New Roman"/>
          <w:sz w:val="24"/>
          <w:szCs w:val="24"/>
        </w:rPr>
        <w:t xml:space="preserve"> stanowi załącznik Nr 1 do Uchwały.</w:t>
      </w:r>
    </w:p>
    <w:p w14:paraId="7743A21A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Ustaw</w:t>
      </w:r>
      <w:r w:rsidRPr="00283E4C">
        <w:rPr>
          <w:rFonts w:ascii="Times New Roman" w:hAnsi="Times New Roman" w:cs="Times New Roman"/>
          <w:sz w:val="24"/>
          <w:szCs w:val="24"/>
        </w:rPr>
        <w:t xml:space="preserve">ą podstawowe elementy prognozy finansowej to dochody i wydatki w podziale na bieżące i majątkowe oraz wynik budżetu. Przedstawia się również informacje o przeznaczeniu nadwyżki bądź sposobie sfinansowania deficytu budżetowego. Kolejnymi prognozowanymi elementami są przychody i rozchody budżetu uwzględniające dług zaciągnięty oraz planowany do zaciągnięcia. Ostatnią prognozowaną pozycją jest kwota długu, w tym relacja zadłużenia opisana w art. 243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 xml:space="preserve">Ustawy </w:t>
      </w:r>
      <w:r w:rsidRPr="00283E4C">
        <w:rPr>
          <w:rFonts w:ascii="Times New Roman" w:hAnsi="Times New Roman" w:cs="Times New Roman"/>
          <w:sz w:val="24"/>
          <w:szCs w:val="24"/>
        </w:rPr>
        <w:t>oraz sposób sfinansowania spłaty zadłużenia.</w:t>
      </w:r>
    </w:p>
    <w:p w14:paraId="60C4CE9A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E4C">
        <w:rPr>
          <w:rFonts w:ascii="Times New Roman" w:hAnsi="Times New Roman" w:cs="Times New Roman"/>
          <w:b/>
          <w:bCs/>
          <w:sz w:val="24"/>
          <w:szCs w:val="24"/>
        </w:rPr>
        <w:t xml:space="preserve">Głównym celem WPF jest opracowanie </w:t>
      </w:r>
      <w:r w:rsidRPr="00283E4C">
        <w:rPr>
          <w:rFonts w:ascii="Times New Roman" w:hAnsi="Times New Roman" w:cs="Times New Roman"/>
          <w:b/>
          <w:bCs/>
          <w:sz w:val="24"/>
          <w:szCs w:val="24"/>
          <w:u w:val="single"/>
        </w:rPr>
        <w:t>realistycznej prognozy</w:t>
      </w:r>
      <w:r w:rsidRPr="00283E4C">
        <w:rPr>
          <w:rFonts w:ascii="Times New Roman" w:hAnsi="Times New Roman" w:cs="Times New Roman"/>
          <w:b/>
          <w:bCs/>
          <w:sz w:val="24"/>
          <w:szCs w:val="24"/>
        </w:rPr>
        <w:t>, która jest wykorzystywana do zarządzania i oceny zdolności kredytowej, a co za tym idzie – do określenia potencjału inwestycyjnego oraz programowania podstawowych wielkości przyszłych budżetów. Zachowanie podstawowej zasady jawności i przejrzystości finansów publicznych wymaga między innymi jasnego określenia i upublicznienia przesłanek i założeń polityki finansowej i ich przewidywanych skutków.</w:t>
      </w:r>
    </w:p>
    <w:p w14:paraId="7936D790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lastRenderedPageBreak/>
        <w:t xml:space="preserve">Przygotowanie wieloletniej prognozy finansowej umożliwia weryfikację długookresowej stabilności finansowej jednostki samorządu terytorialnego. Pod pojęciem stabilności należy rozumieć  zdolność do obsługi zobowiązań i utrzymania płynności finansowej w długiej perspektywie. Z założenia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 xml:space="preserve">WPF </w:t>
      </w:r>
      <w:r w:rsidRPr="00283E4C">
        <w:rPr>
          <w:rFonts w:ascii="Times New Roman" w:hAnsi="Times New Roman" w:cs="Times New Roman"/>
          <w:sz w:val="24"/>
          <w:szCs w:val="24"/>
        </w:rPr>
        <w:t xml:space="preserve">jest dokumentem </w:t>
      </w:r>
      <w:r w:rsidRPr="00283E4C">
        <w:rPr>
          <w:rFonts w:ascii="Times New Roman" w:hAnsi="Times New Roman" w:cs="Times New Roman"/>
          <w:b/>
          <w:bCs/>
          <w:sz w:val="24"/>
          <w:szCs w:val="24"/>
        </w:rPr>
        <w:t>strategicznym i priorytetowym</w:t>
      </w:r>
      <w:r w:rsidRPr="00283E4C">
        <w:rPr>
          <w:rFonts w:ascii="Times New Roman" w:hAnsi="Times New Roman" w:cs="Times New Roman"/>
          <w:sz w:val="24"/>
          <w:szCs w:val="24"/>
        </w:rPr>
        <w:t xml:space="preserve"> służącym wytyczaniu kierunków rozwoju jednostki samorządu terytorialnego, poprzez długoplanowe ujęcie potrzeb i możliwości samorządów. Pomimo trudności, jakie wiążą się z przewidywaniem sytuacji finansowej samorządów terytorialnych w perspektywie wieloletniej,  planowanie wieloletnie umożliwia kompleksową ocenę kondycji finansowej samorządu w dłuższej perspektywie. Poprzez prezentowanie w przejrzysty i jasny sposób następstw budżetowych obecnie podejmowanych decyzji, </w:t>
      </w:r>
      <w:r w:rsidRPr="00283E4C">
        <w:rPr>
          <w:rFonts w:ascii="Times New Roman" w:hAnsi="Times New Roman" w:cs="Times New Roman"/>
          <w:b/>
          <w:bCs/>
          <w:sz w:val="24"/>
          <w:szCs w:val="24"/>
        </w:rPr>
        <w:t>planowanie wieloletnie pomaga ujawniać potencjalne problemy finansowe, z jakimi mogą  być skonfrontowane budżety konstruowane w latach następnych.</w:t>
      </w:r>
    </w:p>
    <w:p w14:paraId="47F8A58D" w14:textId="77777777" w:rsidR="00283E4C" w:rsidRPr="00283E4C" w:rsidRDefault="00283E4C" w:rsidP="00283E4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E4C">
        <w:rPr>
          <w:rFonts w:ascii="Times New Roman" w:hAnsi="Times New Roman" w:cs="Times New Roman"/>
          <w:b/>
          <w:bCs/>
          <w:sz w:val="24"/>
          <w:szCs w:val="24"/>
        </w:rPr>
        <w:t xml:space="preserve">ZAŁOŻENIA DO PROGNOZY DOCHODÓW I WYDATKÓW </w:t>
      </w:r>
    </w:p>
    <w:p w14:paraId="28F3DDFA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Zwracając uwagę na kroczący charakter prognozy, która corocznie będzie nowelizowana przyjęto następujące założenia:</w:t>
      </w:r>
    </w:p>
    <w:p w14:paraId="2E978BCD" w14:textId="706D5453" w:rsidR="00283E4C" w:rsidRPr="00283E4C" w:rsidRDefault="00283E4C" w:rsidP="00283E4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- </w:t>
      </w:r>
      <w:r w:rsidRPr="00283E4C">
        <w:rPr>
          <w:rFonts w:ascii="Times New Roman" w:hAnsi="Times New Roman" w:cs="Times New Roman"/>
          <w:sz w:val="24"/>
          <w:szCs w:val="24"/>
        </w:rPr>
        <w:tab/>
        <w:t>dla roku 202</w:t>
      </w:r>
      <w:r w:rsidR="00D93D97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 xml:space="preserve"> przyjęto wartości wynikające z projektu budżetu, oparte na przewidywanym wykonaniu w 20</w:t>
      </w:r>
      <w:r w:rsidR="00D93D97">
        <w:rPr>
          <w:rFonts w:ascii="Times New Roman" w:hAnsi="Times New Roman" w:cs="Times New Roman"/>
          <w:sz w:val="24"/>
          <w:szCs w:val="24"/>
        </w:rPr>
        <w:t xml:space="preserve">20 </w:t>
      </w:r>
      <w:r w:rsidRPr="00283E4C">
        <w:rPr>
          <w:rFonts w:ascii="Times New Roman" w:hAnsi="Times New Roman" w:cs="Times New Roman"/>
          <w:sz w:val="24"/>
          <w:szCs w:val="24"/>
        </w:rPr>
        <w:t>r. oraz korekty merytoryczne;</w:t>
      </w:r>
    </w:p>
    <w:p w14:paraId="06DAF1FF" w14:textId="602137D8" w:rsidR="00283E4C" w:rsidRPr="00283E4C" w:rsidRDefault="00283E4C" w:rsidP="00283E4C">
      <w:pPr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- </w:t>
      </w:r>
      <w:r w:rsidRPr="00283E4C">
        <w:rPr>
          <w:rFonts w:ascii="Times New Roman" w:hAnsi="Times New Roman" w:cs="Times New Roman"/>
          <w:sz w:val="24"/>
          <w:szCs w:val="24"/>
        </w:rPr>
        <w:tab/>
        <w:t>dla lat 202</w:t>
      </w:r>
      <w:r w:rsidR="00D93D97">
        <w:rPr>
          <w:rFonts w:ascii="Times New Roman" w:hAnsi="Times New Roman" w:cs="Times New Roman"/>
          <w:sz w:val="24"/>
          <w:szCs w:val="24"/>
        </w:rPr>
        <w:t>2</w:t>
      </w:r>
      <w:r w:rsidRPr="00283E4C">
        <w:rPr>
          <w:rFonts w:ascii="Times New Roman" w:hAnsi="Times New Roman" w:cs="Times New Roman"/>
          <w:sz w:val="24"/>
          <w:szCs w:val="24"/>
        </w:rPr>
        <w:t>-2030 przyjęto sposób prognozowania, poprzez indeksację o poszczególne wskaźniki oraz korekty merytoryczne.</w:t>
      </w:r>
    </w:p>
    <w:p w14:paraId="188271CC" w14:textId="0D5C5FCF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Podzielenie prognozy w powyższy sposób pozwala na realną ocenę możliwości inwestycyjno-kredytowych Gminy. Niestabilność i nieprzewidywalność cykli gospodarczych nakazuje zachowanie szczególnej ostrożności dla prognoz długookresowych. </w:t>
      </w:r>
    </w:p>
    <w:p w14:paraId="5F544E63" w14:textId="393D529B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Dochody budżetu w latach 202</w:t>
      </w:r>
      <w:r w:rsidR="00D93D97">
        <w:rPr>
          <w:rFonts w:ascii="Times New Roman" w:hAnsi="Times New Roman" w:cs="Times New Roman"/>
          <w:sz w:val="24"/>
          <w:szCs w:val="24"/>
        </w:rPr>
        <w:t>2</w:t>
      </w:r>
      <w:r w:rsidRPr="00283E4C">
        <w:rPr>
          <w:rFonts w:ascii="Times New Roman" w:hAnsi="Times New Roman" w:cs="Times New Roman"/>
          <w:sz w:val="24"/>
          <w:szCs w:val="24"/>
        </w:rPr>
        <w:t>–2030  z podziałem na dochody bieżące i dochody majątkowe wykazane zostały w pozycji 1 z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ałącznika Nr 1 WPF</w:t>
      </w:r>
      <w:r w:rsidRPr="00283E4C">
        <w:rPr>
          <w:rFonts w:ascii="Times New Roman" w:hAnsi="Times New Roman" w:cs="Times New Roman"/>
          <w:sz w:val="24"/>
          <w:szCs w:val="24"/>
        </w:rPr>
        <w:t>. Głównymi źródłami dochodów bieżących, mających najistotniejszy wpływ na gospodarkę finansową Gminy, są: dochody podatkowe, wpływy z opłat oraz udziały w podatku dochodowym od osób fizycznych.</w:t>
      </w:r>
    </w:p>
    <w:p w14:paraId="40501D68" w14:textId="74834C2F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Dochody podatkowe, których głównym źródłem jest podatek od nieruchomości, w latach 202</w:t>
      </w:r>
      <w:r w:rsidR="00D93D97">
        <w:rPr>
          <w:rFonts w:ascii="Times New Roman" w:hAnsi="Times New Roman" w:cs="Times New Roman"/>
          <w:sz w:val="24"/>
          <w:szCs w:val="24"/>
        </w:rPr>
        <w:t>2</w:t>
      </w:r>
      <w:r w:rsidRPr="00283E4C">
        <w:rPr>
          <w:rFonts w:ascii="Times New Roman" w:hAnsi="Times New Roman" w:cs="Times New Roman"/>
          <w:sz w:val="24"/>
          <w:szCs w:val="24"/>
        </w:rPr>
        <w:t>-2030 ustalono na poziomie roku 202</w:t>
      </w:r>
      <w:r w:rsidR="00D93D97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 xml:space="preserve">, a następnie skorygowano o wzrost podatku od nieruchomości z tytułu nowych obiektów przyjętych do użytkowania, o zmiany w zakresie opodatkowania nieruchomości, szczególnie w okresie sezonu letniego, zakładając 2%-3% wzrost do ostatniego roku prognozy. Nie założono wzrostu stawek podatkowych. </w:t>
      </w:r>
    </w:p>
    <w:p w14:paraId="5C84F8C5" w14:textId="1091A123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lastRenderedPageBreak/>
        <w:t>W dochodach pochodzących z subwencji założono 5% wzrost począwszy od roku 202</w:t>
      </w:r>
      <w:r w:rsidR="00D93D97">
        <w:rPr>
          <w:rFonts w:ascii="Times New Roman" w:hAnsi="Times New Roman" w:cs="Times New Roman"/>
          <w:sz w:val="24"/>
          <w:szCs w:val="24"/>
        </w:rPr>
        <w:t>2</w:t>
      </w:r>
      <w:r w:rsidRPr="00283E4C">
        <w:rPr>
          <w:rFonts w:ascii="Times New Roman" w:hAnsi="Times New Roman" w:cs="Times New Roman"/>
          <w:sz w:val="24"/>
          <w:szCs w:val="24"/>
        </w:rPr>
        <w:t xml:space="preserve"> wyznaczając rok 202</w:t>
      </w:r>
      <w:r w:rsidR="00D93D97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 xml:space="preserve"> jako bazowy. </w:t>
      </w:r>
    </w:p>
    <w:p w14:paraId="74487D2C" w14:textId="2B7CD651" w:rsidR="00283E4C" w:rsidRPr="00283E4C" w:rsidRDefault="00281CB3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Rokrocznie obserwuje się wzrost d</w:t>
      </w:r>
      <w:r w:rsidR="00283E4C" w:rsidRPr="00283E4C">
        <w:rPr>
          <w:rFonts w:ascii="Times New Roman" w:hAnsi="Times New Roman" w:cs="Times New Roman"/>
          <w:sz w:val="24"/>
          <w:szCs w:val="24"/>
        </w:rPr>
        <w:t>otacj</w:t>
      </w:r>
      <w:r>
        <w:rPr>
          <w:rFonts w:ascii="Times New Roman" w:hAnsi="Times New Roman" w:cs="Times New Roman"/>
          <w:sz w:val="24"/>
          <w:szCs w:val="24"/>
        </w:rPr>
        <w:t>i na zadania bieżące (w tym program 500+)</w:t>
      </w:r>
      <w:r w:rsidR="00283E4C" w:rsidRPr="00283E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dlatego w roku 202</w:t>
      </w:r>
      <w:r w:rsidR="009B66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przyjęto poziom dochodów z tego tytułu uwzględniając przewidywane wykonanie 2020 r. Natomiast w kolejnych latach tj. 202</w:t>
      </w:r>
      <w:r w:rsidR="009B66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-2030 </w:t>
      </w:r>
      <w:r w:rsidR="00283E4C" w:rsidRPr="00283E4C">
        <w:rPr>
          <w:rFonts w:ascii="Times New Roman" w:hAnsi="Times New Roman" w:cs="Times New Roman"/>
          <w:sz w:val="24"/>
          <w:szCs w:val="24"/>
        </w:rPr>
        <w:t xml:space="preserve"> przyjęto </w:t>
      </w:r>
      <w:r w:rsidR="00882B89">
        <w:rPr>
          <w:rFonts w:ascii="Times New Roman" w:hAnsi="Times New Roman" w:cs="Times New Roman"/>
          <w:sz w:val="24"/>
          <w:szCs w:val="24"/>
        </w:rPr>
        <w:t>2</w:t>
      </w:r>
      <w:r w:rsidR="00283E4C" w:rsidRPr="00283E4C">
        <w:rPr>
          <w:rFonts w:ascii="Times New Roman" w:hAnsi="Times New Roman" w:cs="Times New Roman"/>
          <w:sz w:val="24"/>
          <w:szCs w:val="24"/>
        </w:rPr>
        <w:t>% wzrost</w:t>
      </w:r>
      <w:r>
        <w:rPr>
          <w:rFonts w:ascii="Times New Roman" w:hAnsi="Times New Roman" w:cs="Times New Roman"/>
          <w:sz w:val="24"/>
          <w:szCs w:val="24"/>
        </w:rPr>
        <w:t>u dochodów</w:t>
      </w:r>
      <w:r w:rsidR="00A62E96">
        <w:rPr>
          <w:rFonts w:ascii="Times New Roman" w:hAnsi="Times New Roman" w:cs="Times New Roman"/>
          <w:sz w:val="24"/>
          <w:szCs w:val="24"/>
        </w:rPr>
        <w:t>.</w:t>
      </w:r>
    </w:p>
    <w:p w14:paraId="1BF6F87F" w14:textId="36F5D33C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Dochodami najbardziej odzwierciedlającymi koniunkturę gospodarczą są dochody z podatków bezpośrednich: PIT – podatek dochodowy od osób fizycznych. Poziom wpływów z tego tytułu zaplanowano w oparciu o plan na 202</w:t>
      </w:r>
      <w:r w:rsidR="00D93D97">
        <w:rPr>
          <w:rFonts w:ascii="Times New Roman" w:hAnsi="Times New Roman" w:cs="Times New Roman"/>
          <w:sz w:val="24"/>
          <w:szCs w:val="24"/>
        </w:rPr>
        <w:t xml:space="preserve">1 </w:t>
      </w:r>
      <w:r w:rsidRPr="00283E4C">
        <w:rPr>
          <w:rFonts w:ascii="Times New Roman" w:hAnsi="Times New Roman" w:cs="Times New Roman"/>
          <w:sz w:val="24"/>
          <w:szCs w:val="24"/>
        </w:rPr>
        <w:t>r., a następnie założono wzrost o 3% w kolejnych latach budżetowych.</w:t>
      </w:r>
      <w:r w:rsidRPr="00283E4C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14:paraId="6CA7EF2F" w14:textId="715D067A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Dochody z tytułu sprzedaży majątku  </w:t>
      </w:r>
      <w:r w:rsidR="009B66B0">
        <w:rPr>
          <w:rFonts w:ascii="Times New Roman" w:hAnsi="Times New Roman" w:cs="Times New Roman"/>
          <w:sz w:val="24"/>
          <w:szCs w:val="24"/>
        </w:rPr>
        <w:t xml:space="preserve">w 2021 r. przyjęto na poziomie 250 000,00 zł natomiast w kolejnych latach </w:t>
      </w:r>
      <w:r w:rsidRPr="00283E4C">
        <w:rPr>
          <w:rFonts w:ascii="Times New Roman" w:hAnsi="Times New Roman" w:cs="Times New Roman"/>
          <w:sz w:val="24"/>
          <w:szCs w:val="24"/>
        </w:rPr>
        <w:t>202</w:t>
      </w:r>
      <w:r w:rsidR="009B66B0">
        <w:rPr>
          <w:rFonts w:ascii="Times New Roman" w:hAnsi="Times New Roman" w:cs="Times New Roman"/>
          <w:sz w:val="24"/>
          <w:szCs w:val="24"/>
        </w:rPr>
        <w:t>2</w:t>
      </w:r>
      <w:r w:rsidRPr="00283E4C">
        <w:rPr>
          <w:rFonts w:ascii="Times New Roman" w:hAnsi="Times New Roman" w:cs="Times New Roman"/>
          <w:sz w:val="24"/>
          <w:szCs w:val="24"/>
        </w:rPr>
        <w:t xml:space="preserve">-2030 na poziomie średnio 100.000 zł. </w:t>
      </w:r>
    </w:p>
    <w:p w14:paraId="018FD01F" w14:textId="28EDD0DC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W latach 2021-2022, w związku z planowaną realizacją inwestycji z udziałem środków unijnych,  przewiduje się uzyskanie dochodów z tytułu dotacji oraz środków przeznaczonych na inwestycje w</w:t>
      </w:r>
      <w:r w:rsidR="00281CB3">
        <w:rPr>
          <w:rFonts w:ascii="Times New Roman" w:hAnsi="Times New Roman" w:cs="Times New Roman"/>
          <w:sz w:val="24"/>
          <w:szCs w:val="24"/>
        </w:rPr>
        <w:t> </w:t>
      </w:r>
      <w:r w:rsidRPr="00283E4C">
        <w:rPr>
          <w:rFonts w:ascii="Times New Roman" w:hAnsi="Times New Roman" w:cs="Times New Roman"/>
          <w:sz w:val="24"/>
          <w:szCs w:val="24"/>
        </w:rPr>
        <w:t xml:space="preserve">kwotach   </w:t>
      </w:r>
      <w:r w:rsidR="005B607C">
        <w:rPr>
          <w:rFonts w:ascii="Times New Roman" w:hAnsi="Times New Roman" w:cs="Times New Roman"/>
          <w:sz w:val="24"/>
          <w:szCs w:val="24"/>
        </w:rPr>
        <w:t>2.34</w:t>
      </w:r>
      <w:r w:rsidR="00814A75">
        <w:rPr>
          <w:rFonts w:ascii="Times New Roman" w:hAnsi="Times New Roman" w:cs="Times New Roman"/>
          <w:sz w:val="24"/>
          <w:szCs w:val="24"/>
        </w:rPr>
        <w:t>0</w:t>
      </w:r>
      <w:r w:rsidR="00D93D97">
        <w:rPr>
          <w:rFonts w:ascii="Times New Roman" w:hAnsi="Times New Roman" w:cs="Times New Roman"/>
          <w:sz w:val="24"/>
          <w:szCs w:val="24"/>
        </w:rPr>
        <w:t>.000,00</w:t>
      </w:r>
      <w:r w:rsidRPr="00283E4C">
        <w:rPr>
          <w:rFonts w:ascii="Times New Roman" w:hAnsi="Times New Roman" w:cs="Times New Roman"/>
          <w:sz w:val="24"/>
          <w:szCs w:val="24"/>
        </w:rPr>
        <w:t xml:space="preserve"> zł w roku 2021 oraz </w:t>
      </w:r>
      <w:r w:rsidR="00874EE2" w:rsidRPr="00874EE2">
        <w:rPr>
          <w:rFonts w:ascii="Times New Roman" w:hAnsi="Times New Roman" w:cs="Times New Roman"/>
          <w:sz w:val="24"/>
          <w:szCs w:val="24"/>
        </w:rPr>
        <w:t>2.900.000,00 zł w 2022 r.</w:t>
      </w:r>
      <w:r w:rsidR="00281CB3">
        <w:rPr>
          <w:rFonts w:ascii="Times New Roman" w:hAnsi="Times New Roman" w:cs="Times New Roman"/>
          <w:sz w:val="24"/>
          <w:szCs w:val="24"/>
        </w:rPr>
        <w:t xml:space="preserve"> (z tego pochodzące ze środków UE 1.300.000,00 zł).</w:t>
      </w:r>
    </w:p>
    <w:p w14:paraId="052FD410" w14:textId="3F74CBDA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Pozyskanie środków zewnętrznych na finansowanie inwestycji może obniżyć potrzeby pożyczkowe Gminy, wpływając na poprawę wskaźnika zadłużenia. </w:t>
      </w:r>
    </w:p>
    <w:p w14:paraId="16E71008" w14:textId="7192BFC2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Wydatki w latach 202</w:t>
      </w:r>
      <w:r w:rsidR="00D93D97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 xml:space="preserve">–2030, z wyszczególnieniem wydatków bieżących oraz wydatków majątkowych, wykazane zostały w pozycji 2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Załącznika Nr 1 WPF</w:t>
      </w:r>
      <w:r w:rsidRPr="00283E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EB3F1" w14:textId="78D0F8B4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W prognozie finansowej uwzględniono wzrost wydatków bieżących tylko o 1%. Zważając na tempo wzrostu wydatków bieżących, skorygowanych o wysokość wypłacanych świadczeń 500+,  w latach 2017-20</w:t>
      </w:r>
      <w:r w:rsidR="00DC48EC">
        <w:rPr>
          <w:rFonts w:ascii="Times New Roman" w:hAnsi="Times New Roman" w:cs="Times New Roman"/>
          <w:sz w:val="24"/>
          <w:szCs w:val="24"/>
        </w:rPr>
        <w:t>20</w:t>
      </w:r>
      <w:r w:rsidRPr="00283E4C">
        <w:rPr>
          <w:rFonts w:ascii="Times New Roman" w:hAnsi="Times New Roman" w:cs="Times New Roman"/>
          <w:sz w:val="24"/>
          <w:szCs w:val="24"/>
        </w:rPr>
        <w:t xml:space="preserve"> – średnio o 4% -  utrzymanie wydatków bieżących na takim poziomie może być trudne, jednak nie niemożliwe. </w:t>
      </w:r>
    </w:p>
    <w:p w14:paraId="012A057E" w14:textId="3E48731C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Wydatki majątkowe w latach 202</w:t>
      </w:r>
      <w:r w:rsidR="00D93D97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 xml:space="preserve"> - 2030 zaplanowano w łącznej </w:t>
      </w:r>
      <w:r w:rsidRPr="00874EE2">
        <w:rPr>
          <w:rFonts w:ascii="Times New Roman" w:hAnsi="Times New Roman" w:cs="Times New Roman"/>
          <w:sz w:val="24"/>
          <w:szCs w:val="24"/>
        </w:rPr>
        <w:t xml:space="preserve">kwocie </w:t>
      </w:r>
      <w:r w:rsidR="00EF735E" w:rsidRPr="00EF735E">
        <w:rPr>
          <w:rFonts w:ascii="Times New Roman" w:hAnsi="Times New Roman" w:cs="Times New Roman"/>
          <w:sz w:val="24"/>
          <w:szCs w:val="24"/>
        </w:rPr>
        <w:t>4</w:t>
      </w:r>
      <w:r w:rsidR="00A25EEE">
        <w:rPr>
          <w:rFonts w:ascii="Times New Roman" w:hAnsi="Times New Roman" w:cs="Times New Roman"/>
          <w:sz w:val="24"/>
          <w:szCs w:val="24"/>
        </w:rPr>
        <w:t>5 92</w:t>
      </w:r>
      <w:r w:rsidR="00E52AE7">
        <w:rPr>
          <w:rFonts w:ascii="Times New Roman" w:hAnsi="Times New Roman" w:cs="Times New Roman"/>
          <w:sz w:val="24"/>
          <w:szCs w:val="24"/>
        </w:rPr>
        <w:t>6</w:t>
      </w:r>
      <w:r w:rsidR="00CC4196">
        <w:rPr>
          <w:rFonts w:ascii="Times New Roman" w:hAnsi="Times New Roman" w:cs="Times New Roman"/>
          <w:sz w:val="24"/>
          <w:szCs w:val="24"/>
        </w:rPr>
        <w:t> 331,00</w:t>
      </w:r>
      <w:r w:rsidR="00D93D97" w:rsidRPr="00EF735E">
        <w:rPr>
          <w:rFonts w:ascii="Times New Roman" w:hAnsi="Times New Roman" w:cs="Times New Roman"/>
          <w:sz w:val="24"/>
          <w:szCs w:val="24"/>
        </w:rPr>
        <w:t xml:space="preserve"> </w:t>
      </w:r>
      <w:r w:rsidRPr="00EF735E">
        <w:rPr>
          <w:rFonts w:ascii="Times New Roman" w:hAnsi="Times New Roman" w:cs="Times New Roman"/>
          <w:sz w:val="24"/>
          <w:szCs w:val="24"/>
        </w:rPr>
        <w:t xml:space="preserve"> </w:t>
      </w:r>
      <w:r w:rsidRPr="00874EE2">
        <w:rPr>
          <w:rFonts w:ascii="Times New Roman" w:hAnsi="Times New Roman" w:cs="Times New Roman"/>
          <w:sz w:val="24"/>
          <w:szCs w:val="24"/>
        </w:rPr>
        <w:t xml:space="preserve">zł.     </w:t>
      </w:r>
      <w:r w:rsidRPr="00283E4C">
        <w:rPr>
          <w:rFonts w:ascii="Times New Roman" w:hAnsi="Times New Roman" w:cs="Times New Roman"/>
          <w:sz w:val="24"/>
          <w:szCs w:val="24"/>
        </w:rPr>
        <w:t>W ramach tych wydatków znajdują się duże zadania inwestycyjne, na które Gmina będzie aplikowała o</w:t>
      </w:r>
      <w:r w:rsidR="00874EE2">
        <w:rPr>
          <w:rFonts w:ascii="Times New Roman" w:hAnsi="Times New Roman" w:cs="Times New Roman"/>
          <w:sz w:val="24"/>
          <w:szCs w:val="24"/>
        </w:rPr>
        <w:t> </w:t>
      </w:r>
      <w:r w:rsidRPr="00283E4C">
        <w:rPr>
          <w:rFonts w:ascii="Times New Roman" w:hAnsi="Times New Roman" w:cs="Times New Roman"/>
          <w:sz w:val="24"/>
          <w:szCs w:val="24"/>
        </w:rPr>
        <w:t>dofinansowanie ze środków UE oraz z budżetu państwa. W kolejnych latach budżetowych wydatki majątkowe uzależniono od możliwości zadłużeniowych Gminy, przyjmując założenia:</w:t>
      </w:r>
    </w:p>
    <w:p w14:paraId="44216FC4" w14:textId="77777777" w:rsidR="00283E4C" w:rsidRPr="00283E4C" w:rsidRDefault="00283E4C" w:rsidP="00283E4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łączny poziom wydatków majątkowych nie może przekraczać kwoty wynikającej z analizy zdolności kredytowej, zapewniającej zachowanie wskaźnika zadłużenia,</w:t>
      </w:r>
    </w:p>
    <w:p w14:paraId="51C9867F" w14:textId="77777777" w:rsidR="00283E4C" w:rsidRPr="00283E4C" w:rsidRDefault="00283E4C" w:rsidP="00283E4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skorelowanie poziomu wydatków majątkowych z prognozowanymi dochodami majątkowymi.</w:t>
      </w:r>
    </w:p>
    <w:p w14:paraId="3B39A8B4" w14:textId="77777777" w:rsidR="00283E4C" w:rsidRPr="00283E4C" w:rsidRDefault="00283E4C" w:rsidP="00283E4C">
      <w:p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9D0D1" w14:textId="77777777" w:rsidR="00283E4C" w:rsidRPr="00283E4C" w:rsidRDefault="00283E4C" w:rsidP="00283E4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E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PRZYCHODY, ROZCHODY I OBSŁUGA DŁUGU </w:t>
      </w:r>
    </w:p>
    <w:p w14:paraId="499CAA15" w14:textId="2A1512EA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Wynik budżetu w latach 202</w:t>
      </w:r>
      <w:r w:rsidR="00A82706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 xml:space="preserve">–2030 wykazany w pozycji 3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Załącznika Nr 1 WPF</w:t>
      </w:r>
      <w:r w:rsidRPr="00283E4C">
        <w:rPr>
          <w:rFonts w:ascii="Times New Roman" w:hAnsi="Times New Roman" w:cs="Times New Roman"/>
          <w:sz w:val="24"/>
          <w:szCs w:val="24"/>
        </w:rPr>
        <w:t>, został obliczony jako różnica między dochodami ogółem i wydatkami ogółem.</w:t>
      </w:r>
    </w:p>
    <w:p w14:paraId="1A35BE66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Przychody budżetu wykazane zostały w pozycji 4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Załącznika  Nr 1 WPF</w:t>
      </w:r>
      <w:r w:rsidRPr="00283E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60F92" w14:textId="6384B2B3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Przychody w 202</w:t>
      </w:r>
      <w:r w:rsidR="00D93D97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 xml:space="preserve"> roku obejmują niewykorzystane środki pieniężne na rachunku bieżącym budżetu, wynikające z rozliczenia dochodów i wydatków nimi finansowanych związanych ze szczególnymi zasadami wykonywania budżetu określonymi w odrębnych ustawach ( </w:t>
      </w:r>
      <w:r w:rsidR="00D93D97">
        <w:rPr>
          <w:rFonts w:ascii="Times New Roman" w:hAnsi="Times New Roman" w:cs="Times New Roman"/>
          <w:sz w:val="24"/>
          <w:szCs w:val="24"/>
        </w:rPr>
        <w:t>środki otrzymane z Rządowego Funduszu Inwestycji Lokalnych</w:t>
      </w:r>
      <w:r w:rsidRPr="00283E4C">
        <w:rPr>
          <w:rFonts w:ascii="Times New Roman" w:hAnsi="Times New Roman" w:cs="Times New Roman"/>
          <w:sz w:val="24"/>
          <w:szCs w:val="24"/>
        </w:rPr>
        <w:t xml:space="preserve">), </w:t>
      </w:r>
      <w:r w:rsidRPr="00283E4C">
        <w:rPr>
          <w:rFonts w:ascii="Times New Roman" w:hAnsi="Times New Roman" w:cs="Times New Roman"/>
          <w:color w:val="000000"/>
          <w:sz w:val="24"/>
          <w:szCs w:val="24"/>
        </w:rPr>
        <w:t>wolne środki, jako nadwyżka środków pieniężnych na rachunku bieżącym budżetu, wynikających z rozliczeń wyemitowanych papierów wartościowych, kredytów i pożyczek z lat ubiegłych na pokrycie deficytu oraz spłatę udzielonej pożyczki</w:t>
      </w:r>
      <w:r w:rsidRPr="00283E4C">
        <w:rPr>
          <w:rFonts w:ascii="Times New Roman" w:hAnsi="Times New Roman" w:cs="Times New Roman"/>
          <w:sz w:val="24"/>
          <w:szCs w:val="24"/>
        </w:rPr>
        <w:t>.</w:t>
      </w:r>
    </w:p>
    <w:p w14:paraId="670EEAA1" w14:textId="49EF1850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Nadwyżki budżetu w latach 202</w:t>
      </w:r>
      <w:r w:rsidR="00D93D97">
        <w:rPr>
          <w:rFonts w:ascii="Times New Roman" w:hAnsi="Times New Roman" w:cs="Times New Roman"/>
          <w:sz w:val="24"/>
          <w:szCs w:val="24"/>
        </w:rPr>
        <w:t>2</w:t>
      </w:r>
      <w:r w:rsidRPr="00283E4C">
        <w:rPr>
          <w:rFonts w:ascii="Times New Roman" w:hAnsi="Times New Roman" w:cs="Times New Roman"/>
          <w:sz w:val="24"/>
          <w:szCs w:val="24"/>
        </w:rPr>
        <w:t>-2030 przeznaczono na spłatę zaciągniętych zobowiązań.</w:t>
      </w:r>
    </w:p>
    <w:p w14:paraId="424C0B8A" w14:textId="01074DF9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Rozchody budżetu wykazane zostały w pozycji 5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Załącznika Nr 1 WPF</w:t>
      </w:r>
      <w:r w:rsidRPr="00283E4C">
        <w:rPr>
          <w:rFonts w:ascii="Times New Roman" w:hAnsi="Times New Roman" w:cs="Times New Roman"/>
          <w:sz w:val="24"/>
          <w:szCs w:val="24"/>
        </w:rPr>
        <w:t>. Rozchody w latach 202</w:t>
      </w:r>
      <w:r w:rsidR="00AC60E1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>–2030 obejmują spłaty kredytów i pożyczek oraz wyemitowanych obligacji komunalnych w latach ubiegłych oraz planowane spłaty przyszłych zobowiązań.</w:t>
      </w:r>
    </w:p>
    <w:p w14:paraId="5549A6A1" w14:textId="1D457BC3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 xml:space="preserve">Dług publiczny wykazany został w pozycji 6 </w:t>
      </w:r>
      <w:r w:rsidRPr="00283E4C">
        <w:rPr>
          <w:rFonts w:ascii="Times New Roman" w:hAnsi="Times New Roman" w:cs="Times New Roman"/>
          <w:i/>
          <w:iCs/>
          <w:sz w:val="24"/>
          <w:szCs w:val="24"/>
        </w:rPr>
        <w:t>załącznika Nr 1 WPF</w:t>
      </w:r>
      <w:r w:rsidRPr="00283E4C">
        <w:rPr>
          <w:rFonts w:ascii="Times New Roman" w:hAnsi="Times New Roman" w:cs="Times New Roman"/>
          <w:sz w:val="24"/>
          <w:szCs w:val="24"/>
        </w:rPr>
        <w:t>. Dług Gminy w 202</w:t>
      </w:r>
      <w:r w:rsidR="00D93D97">
        <w:rPr>
          <w:rFonts w:ascii="Times New Roman" w:hAnsi="Times New Roman" w:cs="Times New Roman"/>
          <w:sz w:val="24"/>
          <w:szCs w:val="24"/>
        </w:rPr>
        <w:t>1</w:t>
      </w:r>
      <w:r w:rsidRPr="00283E4C">
        <w:rPr>
          <w:rFonts w:ascii="Times New Roman" w:hAnsi="Times New Roman" w:cs="Times New Roman"/>
          <w:sz w:val="24"/>
          <w:szCs w:val="24"/>
        </w:rPr>
        <w:t xml:space="preserve"> roku został obliczony jako saldo końcowe długu roku poprzedniego pomniejszone o rozchody z tytułu wykupu  obligacji oraz spłaty kredytów i pożyczek.  </w:t>
      </w:r>
    </w:p>
    <w:p w14:paraId="28EDE32F" w14:textId="77777777" w:rsidR="00283E4C" w:rsidRPr="00283E4C" w:rsidRDefault="00283E4C" w:rsidP="0028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4C">
        <w:rPr>
          <w:rFonts w:ascii="Times New Roman" w:hAnsi="Times New Roman" w:cs="Times New Roman"/>
          <w:sz w:val="24"/>
          <w:szCs w:val="24"/>
        </w:rPr>
        <w:t>Kwota długu i obciążenie budżetu z tytułu spłaty przedstawia się w kolejnych latach budżetowych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2020"/>
        <w:gridCol w:w="2000"/>
      </w:tblGrid>
      <w:tr w:rsidR="00283E4C" w:rsidRPr="00283E4C" w14:paraId="73998E35" w14:textId="77777777">
        <w:trPr>
          <w:trHeight w:val="6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14CC7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B4BCF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długu na koniec roku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7EBAF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Spłaty zadłużenia </w:t>
            </w:r>
          </w:p>
        </w:tc>
      </w:tr>
      <w:tr w:rsidR="00283E4C" w:rsidRPr="00283E4C" w14:paraId="3941E507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18E33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9199D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12 524 704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862C5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1 564 516</w:t>
            </w:r>
          </w:p>
        </w:tc>
      </w:tr>
      <w:tr w:rsidR="00283E4C" w:rsidRPr="00283E4C" w14:paraId="00A4F03E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FFA2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AA544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18 095 574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237A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2 630 857</w:t>
            </w:r>
          </w:p>
        </w:tc>
      </w:tr>
      <w:tr w:rsidR="00283E4C" w:rsidRPr="00283E4C" w14:paraId="0A70523E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23CF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79944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21 859 094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F7534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2 566 480</w:t>
            </w:r>
          </w:p>
        </w:tc>
      </w:tr>
      <w:tr w:rsidR="00283E4C" w:rsidRPr="00283E4C" w14:paraId="467162C1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FBBDD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6CEA0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19 292 614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19297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2 566 480</w:t>
            </w:r>
          </w:p>
        </w:tc>
      </w:tr>
      <w:tr w:rsidR="00283E4C" w:rsidRPr="00283E4C" w14:paraId="256D73EF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586D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B0259" w14:textId="175F3E7D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16 509 516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5E560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2 783 134</w:t>
            </w:r>
          </w:p>
        </w:tc>
      </w:tr>
      <w:tr w:rsidR="00283E4C" w:rsidRPr="00283E4C" w14:paraId="165555BB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56C6A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D217C" w14:textId="7178CA5A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5 042 512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A5902" w14:textId="7FC26DF5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1 467 004</w:t>
            </w:r>
          </w:p>
        </w:tc>
      </w:tr>
      <w:tr w:rsidR="00283E4C" w:rsidRPr="00283E4C" w14:paraId="002CADD0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9CA8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4BBEF" w14:textId="37A418C6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13 714 000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AB709" w14:textId="647E92AE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1 328 512</w:t>
            </w:r>
          </w:p>
        </w:tc>
      </w:tr>
      <w:tr w:rsidR="00283E4C" w:rsidRPr="00283E4C" w14:paraId="18004141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BA5C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E454C" w14:textId="2941B701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12 672 000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54FBA" w14:textId="59991A08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1 042 000</w:t>
            </w:r>
          </w:p>
        </w:tc>
      </w:tr>
      <w:tr w:rsidR="00283E4C" w:rsidRPr="00283E4C" w14:paraId="52777750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144F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C064C" w14:textId="1A183494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A6529" w14:textId="4D62F4CE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2 092 000</w:t>
            </w:r>
          </w:p>
        </w:tc>
      </w:tr>
      <w:tr w:rsidR="00283E4C" w:rsidRPr="00283E4C" w14:paraId="7A3B3799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9125A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1E747" w14:textId="2C687FF6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8 503 000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26DCD" w14:textId="2280E6FB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2 050 000</w:t>
            </w:r>
          </w:p>
        </w:tc>
      </w:tr>
      <w:tr w:rsidR="00283E4C" w:rsidRPr="00283E4C" w14:paraId="66A6A74F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0D886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F74E9" w14:textId="3299C388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6 430 000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4B529" w14:textId="11062138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2 100 000</w:t>
            </w:r>
          </w:p>
        </w:tc>
      </w:tr>
      <w:tr w:rsidR="00283E4C" w:rsidRPr="00283E4C" w14:paraId="01EB6E47" w14:textId="7777777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D6221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A556B" w14:textId="50F0909B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3 930 000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BC402" w14:textId="2FDC9001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2 500 000</w:t>
            </w:r>
          </w:p>
        </w:tc>
      </w:tr>
      <w:tr w:rsidR="00283E4C" w:rsidRPr="00283E4C" w14:paraId="6ED1F0D3" w14:textId="7777777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23C7C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73EB6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D988B" w14:textId="64315D84" w:rsidR="00283E4C" w:rsidRPr="00283E4C" w:rsidRDefault="00D55596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1 930 000</w:t>
            </w:r>
          </w:p>
        </w:tc>
      </w:tr>
      <w:tr w:rsidR="00283E4C" w:rsidRPr="00283E4C" w14:paraId="24A676AA" w14:textId="7777777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0B0E3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EAD0A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1116E" w14:textId="77777777" w:rsidR="00283E4C" w:rsidRPr="00283E4C" w:rsidRDefault="00283E4C" w:rsidP="00283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</w:t>
            </w:r>
          </w:p>
        </w:tc>
      </w:tr>
    </w:tbl>
    <w:p w14:paraId="012F84E0" w14:textId="733996DA" w:rsidR="004C3065" w:rsidRPr="004C3065" w:rsidRDefault="004C3065" w:rsidP="004C306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3065" w:rsidRPr="004C3065" w:rsidSect="001A3917">
      <w:pgSz w:w="12240" w:h="15840"/>
      <w:pgMar w:top="1418" w:right="1021" w:bottom="1021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6337BD2"/>
    <w:multiLevelType w:val="hybridMultilevel"/>
    <w:tmpl w:val="15E68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C14C3"/>
    <w:multiLevelType w:val="hybridMultilevel"/>
    <w:tmpl w:val="6EE0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0824"/>
    <w:multiLevelType w:val="hybridMultilevel"/>
    <w:tmpl w:val="051A2A62"/>
    <w:lvl w:ilvl="0" w:tplc="5AB08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4E2E"/>
    <w:multiLevelType w:val="hybridMultilevel"/>
    <w:tmpl w:val="941C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1EBD"/>
    <w:multiLevelType w:val="hybridMultilevel"/>
    <w:tmpl w:val="D0CCBDB0"/>
    <w:lvl w:ilvl="0" w:tplc="78803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5BF4"/>
    <w:multiLevelType w:val="hybridMultilevel"/>
    <w:tmpl w:val="C76A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2788"/>
    <w:multiLevelType w:val="hybridMultilevel"/>
    <w:tmpl w:val="EABE3FA2"/>
    <w:lvl w:ilvl="0" w:tplc="32A65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A5694"/>
    <w:multiLevelType w:val="hybridMultilevel"/>
    <w:tmpl w:val="8D28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46BB"/>
    <w:multiLevelType w:val="hybridMultilevel"/>
    <w:tmpl w:val="A6BA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1944"/>
    <w:multiLevelType w:val="hybridMultilevel"/>
    <w:tmpl w:val="D784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57330"/>
    <w:multiLevelType w:val="hybridMultilevel"/>
    <w:tmpl w:val="9E82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7E"/>
    <w:rsid w:val="000C6D49"/>
    <w:rsid w:val="00122648"/>
    <w:rsid w:val="00185064"/>
    <w:rsid w:val="0019513C"/>
    <w:rsid w:val="001A3917"/>
    <w:rsid w:val="002527C3"/>
    <w:rsid w:val="00280A34"/>
    <w:rsid w:val="00281CB3"/>
    <w:rsid w:val="00283E4C"/>
    <w:rsid w:val="002B4A45"/>
    <w:rsid w:val="002E21F2"/>
    <w:rsid w:val="00315E9C"/>
    <w:rsid w:val="003937C1"/>
    <w:rsid w:val="0041675B"/>
    <w:rsid w:val="00481617"/>
    <w:rsid w:val="004C3065"/>
    <w:rsid w:val="005030EA"/>
    <w:rsid w:val="005371EB"/>
    <w:rsid w:val="005B607C"/>
    <w:rsid w:val="005C6947"/>
    <w:rsid w:val="00632B60"/>
    <w:rsid w:val="00633D7E"/>
    <w:rsid w:val="006F6B1D"/>
    <w:rsid w:val="00753FB0"/>
    <w:rsid w:val="00796877"/>
    <w:rsid w:val="007B05A5"/>
    <w:rsid w:val="007C4D44"/>
    <w:rsid w:val="00814A75"/>
    <w:rsid w:val="00871620"/>
    <w:rsid w:val="0087188F"/>
    <w:rsid w:val="00874EE2"/>
    <w:rsid w:val="00882B89"/>
    <w:rsid w:val="00904BDB"/>
    <w:rsid w:val="009749B4"/>
    <w:rsid w:val="00997318"/>
    <w:rsid w:val="009B66B0"/>
    <w:rsid w:val="00A25EEE"/>
    <w:rsid w:val="00A62E96"/>
    <w:rsid w:val="00A82706"/>
    <w:rsid w:val="00AC60E1"/>
    <w:rsid w:val="00B207C2"/>
    <w:rsid w:val="00BA1649"/>
    <w:rsid w:val="00BE342F"/>
    <w:rsid w:val="00C67A7E"/>
    <w:rsid w:val="00C72069"/>
    <w:rsid w:val="00C7768E"/>
    <w:rsid w:val="00C957E9"/>
    <w:rsid w:val="00CB1A9E"/>
    <w:rsid w:val="00CC4196"/>
    <w:rsid w:val="00D33A34"/>
    <w:rsid w:val="00D55596"/>
    <w:rsid w:val="00D93D97"/>
    <w:rsid w:val="00DC48EC"/>
    <w:rsid w:val="00DD040D"/>
    <w:rsid w:val="00E24155"/>
    <w:rsid w:val="00E52AE7"/>
    <w:rsid w:val="00E72AE0"/>
    <w:rsid w:val="00EF735E"/>
    <w:rsid w:val="00F31D40"/>
    <w:rsid w:val="00F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6A8E"/>
  <w15:chartTrackingRefBased/>
  <w15:docId w15:val="{FA4D0392-1649-4FA0-A873-9A8377FB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33D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33D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88</cp:revision>
  <cp:lastPrinted>2021-03-16T15:06:00Z</cp:lastPrinted>
  <dcterms:created xsi:type="dcterms:W3CDTF">2020-05-19T13:23:00Z</dcterms:created>
  <dcterms:modified xsi:type="dcterms:W3CDTF">2021-07-01T11:56:00Z</dcterms:modified>
</cp:coreProperties>
</file>