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0BB0" w14:textId="7683C25A" w:rsidR="00633D7E" w:rsidRPr="00633D7E" w:rsidRDefault="007B05A5" w:rsidP="00633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633D7E" w:rsidRPr="00633D7E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481617">
        <w:rPr>
          <w:rFonts w:ascii="Times New Roman" w:hAnsi="Times New Roman" w:cs="Times New Roman"/>
          <w:sz w:val="20"/>
          <w:szCs w:val="20"/>
        </w:rPr>
        <w:t>2</w:t>
      </w:r>
      <w:r w:rsidR="00633D7E" w:rsidRPr="00633D7E">
        <w:rPr>
          <w:rFonts w:ascii="Times New Roman" w:hAnsi="Times New Roman" w:cs="Times New Roman"/>
          <w:sz w:val="20"/>
          <w:szCs w:val="20"/>
        </w:rPr>
        <w:t xml:space="preserve"> do </w:t>
      </w:r>
      <w:r w:rsidR="00481617">
        <w:rPr>
          <w:rFonts w:ascii="Times New Roman" w:hAnsi="Times New Roman" w:cs="Times New Roman"/>
          <w:sz w:val="20"/>
          <w:szCs w:val="20"/>
        </w:rPr>
        <w:t xml:space="preserve">Uchwały </w:t>
      </w:r>
      <w:r w:rsidR="00122648">
        <w:rPr>
          <w:rFonts w:ascii="Times New Roman" w:hAnsi="Times New Roman" w:cs="Times New Roman"/>
          <w:sz w:val="20"/>
          <w:szCs w:val="20"/>
        </w:rPr>
        <w:t>Nr</w:t>
      </w:r>
      <w:r w:rsidR="00BE342F">
        <w:rPr>
          <w:rFonts w:ascii="Times New Roman" w:hAnsi="Times New Roman" w:cs="Times New Roman"/>
          <w:sz w:val="20"/>
          <w:szCs w:val="20"/>
        </w:rPr>
        <w:t xml:space="preserve"> </w:t>
      </w:r>
      <w:r w:rsidR="00262385">
        <w:rPr>
          <w:rFonts w:ascii="Times New Roman" w:hAnsi="Times New Roman" w:cs="Times New Roman"/>
          <w:sz w:val="20"/>
          <w:szCs w:val="20"/>
        </w:rPr>
        <w:t>XLI/259/21</w:t>
      </w:r>
      <w:r w:rsidR="00D6705D">
        <w:rPr>
          <w:rFonts w:ascii="Times New Roman" w:hAnsi="Times New Roman" w:cs="Times New Roman"/>
          <w:sz w:val="20"/>
          <w:szCs w:val="20"/>
        </w:rPr>
        <w:t xml:space="preserve"> </w:t>
      </w:r>
      <w:r w:rsidR="00481617">
        <w:rPr>
          <w:rFonts w:ascii="Times New Roman" w:hAnsi="Times New Roman" w:cs="Times New Roman"/>
          <w:sz w:val="20"/>
          <w:szCs w:val="20"/>
        </w:rPr>
        <w:t xml:space="preserve">Rady Gminy Kobylanka z dnia </w:t>
      </w:r>
      <w:r w:rsidR="00262385">
        <w:rPr>
          <w:rFonts w:ascii="Times New Roman" w:hAnsi="Times New Roman" w:cs="Times New Roman"/>
          <w:sz w:val="20"/>
          <w:szCs w:val="20"/>
        </w:rPr>
        <w:t>16.12.2021 r.</w:t>
      </w:r>
    </w:p>
    <w:p w14:paraId="359EB59E" w14:textId="181B634E" w:rsidR="00633D7E" w:rsidRPr="00633D7E" w:rsidRDefault="00633D7E" w:rsidP="00633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D7E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Kobylanka na lata 202</w:t>
      </w:r>
      <w:r w:rsidR="00EE52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3D7E">
        <w:rPr>
          <w:rFonts w:ascii="Times New Roman" w:hAnsi="Times New Roman" w:cs="Times New Roman"/>
          <w:b/>
          <w:bCs/>
          <w:sz w:val="24"/>
          <w:szCs w:val="24"/>
        </w:rPr>
        <w:t>-2030</w:t>
      </w:r>
    </w:p>
    <w:p w14:paraId="48D18840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64CB01" w14:textId="2A1A5C4B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E2">
        <w:rPr>
          <w:rFonts w:ascii="Times New Roman" w:hAnsi="Times New Roman" w:cs="Times New Roman"/>
          <w:sz w:val="24"/>
          <w:szCs w:val="24"/>
        </w:rPr>
        <w:t>Wieloletnia Prognoza Finansowa</w:t>
      </w:r>
      <w:r w:rsidRPr="00283E4C">
        <w:rPr>
          <w:rFonts w:ascii="Times New Roman" w:hAnsi="Times New Roman" w:cs="Times New Roman"/>
          <w:sz w:val="24"/>
          <w:szCs w:val="24"/>
        </w:rPr>
        <w:t xml:space="preserve"> (WPF), której obowiązek  sporządzania wprowadzony został przepisami </w:t>
      </w:r>
      <w:r w:rsidR="003C4527">
        <w:rPr>
          <w:rFonts w:ascii="Times New Roman" w:hAnsi="Times New Roman" w:cs="Times New Roman"/>
          <w:sz w:val="24"/>
          <w:szCs w:val="24"/>
        </w:rPr>
        <w:t>u</w:t>
      </w:r>
      <w:r w:rsidRPr="00283E4C">
        <w:rPr>
          <w:rFonts w:ascii="Times New Roman" w:hAnsi="Times New Roman" w:cs="Times New Roman"/>
          <w:sz w:val="24"/>
          <w:szCs w:val="24"/>
        </w:rPr>
        <w:t>stawy</w:t>
      </w:r>
      <w:r w:rsidR="003C4527">
        <w:rPr>
          <w:rFonts w:ascii="Times New Roman" w:hAnsi="Times New Roman" w:cs="Times New Roman"/>
          <w:sz w:val="24"/>
          <w:szCs w:val="24"/>
        </w:rPr>
        <w:t xml:space="preserve"> z dnia 27 sierpnia 2009 r.</w:t>
      </w:r>
      <w:r w:rsidRPr="00283E4C">
        <w:rPr>
          <w:rFonts w:ascii="Times New Roman" w:hAnsi="Times New Roman" w:cs="Times New Roman"/>
          <w:sz w:val="24"/>
          <w:szCs w:val="24"/>
        </w:rPr>
        <w:t xml:space="preserve"> o finansach publicznych </w:t>
      </w:r>
      <w:r w:rsidR="003C4527">
        <w:rPr>
          <w:rFonts w:ascii="Times New Roman" w:hAnsi="Times New Roman" w:cs="Times New Roman"/>
          <w:sz w:val="24"/>
          <w:szCs w:val="24"/>
        </w:rPr>
        <w:t xml:space="preserve">(Dz. U. z 2021 r. poz. 305 ze zm.) </w:t>
      </w:r>
      <w:r w:rsidRPr="00283E4C">
        <w:rPr>
          <w:rFonts w:ascii="Times New Roman" w:hAnsi="Times New Roman" w:cs="Times New Roman"/>
          <w:sz w:val="24"/>
          <w:szCs w:val="24"/>
        </w:rPr>
        <w:t xml:space="preserve">(Ustawa), jest instrumentem nowoczesnego zarządzania finansami publicznymi. Wieloletnia prognoza finansowa sporządzana jest w celu przeprowadzenia oceny sytuacji finansowej jednostki samorządu terytorialnego przez organy JST, jej mieszkańców, instytucje finansowe, organy nadzoru oraz wszystkich pozostałych zainteresowanych. Tworzenie projekcji dochodów i wydatków budżetowych obrazujących sytuację finansową </w:t>
      </w:r>
      <w:r w:rsidR="003C4527">
        <w:rPr>
          <w:rFonts w:ascii="Times New Roman" w:hAnsi="Times New Roman" w:cs="Times New Roman"/>
          <w:sz w:val="24"/>
          <w:szCs w:val="24"/>
        </w:rPr>
        <w:t>j</w:t>
      </w:r>
      <w:r w:rsidRPr="00283E4C">
        <w:rPr>
          <w:rFonts w:ascii="Times New Roman" w:hAnsi="Times New Roman" w:cs="Times New Roman"/>
          <w:sz w:val="24"/>
          <w:szCs w:val="24"/>
        </w:rPr>
        <w:t xml:space="preserve">ednostki </w:t>
      </w:r>
      <w:r w:rsidR="003C4527">
        <w:rPr>
          <w:rFonts w:ascii="Times New Roman" w:hAnsi="Times New Roman" w:cs="Times New Roman"/>
          <w:sz w:val="24"/>
          <w:szCs w:val="24"/>
        </w:rPr>
        <w:t>s</w:t>
      </w:r>
      <w:r w:rsidRPr="00283E4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3C4527">
        <w:rPr>
          <w:rFonts w:ascii="Times New Roman" w:hAnsi="Times New Roman" w:cs="Times New Roman"/>
          <w:sz w:val="24"/>
          <w:szCs w:val="24"/>
        </w:rPr>
        <w:t>t</w:t>
      </w:r>
      <w:r w:rsidRPr="00283E4C">
        <w:rPr>
          <w:rFonts w:ascii="Times New Roman" w:hAnsi="Times New Roman" w:cs="Times New Roman"/>
          <w:sz w:val="24"/>
          <w:szCs w:val="24"/>
        </w:rPr>
        <w:t xml:space="preserve">erytorialnego w przyszłych latach pozwala na dokonanie analizy możliwości inwestycyjnych JST oraz ocenę jej zdolności kredytowej. </w:t>
      </w:r>
    </w:p>
    <w:p w14:paraId="1ACCB158" w14:textId="7F10F1E1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Wieloletnia Prognoza Finansowa Gminy Kobylanka przygotowana została na lata 202</w:t>
      </w:r>
      <w:r w:rsidR="00D90867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 xml:space="preserve">–2030. Długość okresu objętego prognozą wynika z art. 227 ust. 2 </w:t>
      </w:r>
      <w:r w:rsidR="003C4527">
        <w:rPr>
          <w:rFonts w:ascii="Times New Roman" w:hAnsi="Times New Roman" w:cs="Times New Roman"/>
          <w:sz w:val="24"/>
          <w:szCs w:val="24"/>
        </w:rPr>
        <w:t>U</w:t>
      </w:r>
      <w:r w:rsidRPr="00283E4C">
        <w:rPr>
          <w:rFonts w:ascii="Times New Roman" w:hAnsi="Times New Roman" w:cs="Times New Roman"/>
          <w:sz w:val="24"/>
          <w:szCs w:val="24"/>
        </w:rPr>
        <w:t xml:space="preserve">stawy  o finansach publicznych. Z brzmienia przepisu wynika, że prognozę należy sporządzić na okres, na który zaciągnięto oraz planuje się zaciągnąć zobowiązania. Ostatni rok spłaty planowanych do zaciągnięcia przez Gminę </w:t>
      </w:r>
      <w:r w:rsidR="003C4527">
        <w:rPr>
          <w:rFonts w:ascii="Times New Roman" w:hAnsi="Times New Roman" w:cs="Times New Roman"/>
          <w:sz w:val="24"/>
          <w:szCs w:val="24"/>
        </w:rPr>
        <w:t xml:space="preserve">Kobylanka </w:t>
      </w:r>
      <w:r w:rsidRPr="00283E4C">
        <w:rPr>
          <w:rFonts w:ascii="Times New Roman" w:hAnsi="Times New Roman" w:cs="Times New Roman"/>
          <w:sz w:val="24"/>
          <w:szCs w:val="24"/>
        </w:rPr>
        <w:t>zobowiązań przypada na rok 2030.</w:t>
      </w:r>
    </w:p>
    <w:p w14:paraId="39BC377D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Wartości przyjęte w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 xml:space="preserve">WPF </w:t>
      </w:r>
      <w:r w:rsidRPr="00283E4C">
        <w:rPr>
          <w:rFonts w:ascii="Times New Roman" w:hAnsi="Times New Roman" w:cs="Times New Roman"/>
          <w:sz w:val="24"/>
          <w:szCs w:val="24"/>
        </w:rPr>
        <w:t xml:space="preserve">i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Uchwale budżetowej</w:t>
      </w:r>
      <w:r w:rsidRPr="00283E4C">
        <w:rPr>
          <w:rFonts w:ascii="Times New Roman" w:hAnsi="Times New Roman" w:cs="Times New Roman"/>
          <w:sz w:val="24"/>
          <w:szCs w:val="24"/>
        </w:rPr>
        <w:t xml:space="preserve"> powinny być zgodne, co najmniej w zakresie wyniku budżetu i związanych z nimi kwot przychodów i rozchodów oraz długu.</w:t>
      </w:r>
    </w:p>
    <w:p w14:paraId="04A98AEF" w14:textId="3CB75393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Część obowiązująca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Wieloletniej Prognozy Finansowej</w:t>
      </w:r>
      <w:r w:rsidRPr="00283E4C">
        <w:rPr>
          <w:rFonts w:ascii="Times New Roman" w:hAnsi="Times New Roman" w:cs="Times New Roman"/>
          <w:sz w:val="24"/>
          <w:szCs w:val="24"/>
        </w:rPr>
        <w:t xml:space="preserve"> na 202</w:t>
      </w:r>
      <w:r w:rsidR="00F81073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 xml:space="preserve"> rok i lata następne spełnia wymogi ustawy o finansach publicznych z dnia 27 sierpnia 2009 roku.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WPF</w:t>
      </w:r>
      <w:r w:rsidRPr="00283E4C">
        <w:rPr>
          <w:rFonts w:ascii="Times New Roman" w:hAnsi="Times New Roman" w:cs="Times New Roman"/>
          <w:sz w:val="24"/>
          <w:szCs w:val="24"/>
        </w:rPr>
        <w:t xml:space="preserve"> stanowi załącznik Nr 1 do Uchwały.</w:t>
      </w:r>
    </w:p>
    <w:p w14:paraId="7743A21A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Ustaw</w:t>
      </w:r>
      <w:r w:rsidRPr="00283E4C">
        <w:rPr>
          <w:rFonts w:ascii="Times New Roman" w:hAnsi="Times New Roman" w:cs="Times New Roman"/>
          <w:sz w:val="24"/>
          <w:szCs w:val="24"/>
        </w:rPr>
        <w:t xml:space="preserve">ą podstawowe elementy prognozy finansowej to dochody i wydatki w podziale na bieżące i majątkowe oraz wynik budżetu. Przedstawia się również informacje o przeznaczeniu nadwyżki bądź sposobie sfinansowania deficytu budżetowego. Kolejnymi prognozowanymi elementami są przychody i rozchody budżetu uwzględniające dług zaciągnięty oraz planowany do zaciągnięcia. Ostatnią prognozowaną pozycją jest kwota długu, w tym relacja zadłużenia opisana w art. 243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 xml:space="preserve">Ustawy </w:t>
      </w:r>
      <w:r w:rsidRPr="00283E4C">
        <w:rPr>
          <w:rFonts w:ascii="Times New Roman" w:hAnsi="Times New Roman" w:cs="Times New Roman"/>
          <w:sz w:val="24"/>
          <w:szCs w:val="24"/>
        </w:rPr>
        <w:t>oraz sposób sfinansowania spłaty zadłużenia.</w:t>
      </w:r>
    </w:p>
    <w:p w14:paraId="60C4CE9A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b/>
          <w:bCs/>
          <w:sz w:val="24"/>
          <w:szCs w:val="24"/>
        </w:rPr>
        <w:t xml:space="preserve">Głównym celem WPF jest opracowanie </w:t>
      </w:r>
      <w:r w:rsidRPr="00283E4C">
        <w:rPr>
          <w:rFonts w:ascii="Times New Roman" w:hAnsi="Times New Roman" w:cs="Times New Roman"/>
          <w:b/>
          <w:bCs/>
          <w:sz w:val="24"/>
          <w:szCs w:val="24"/>
          <w:u w:val="single"/>
        </w:rPr>
        <w:t>realistycznej prognozy</w:t>
      </w:r>
      <w:r w:rsidRPr="00283E4C">
        <w:rPr>
          <w:rFonts w:ascii="Times New Roman" w:hAnsi="Times New Roman" w:cs="Times New Roman"/>
          <w:b/>
          <w:bCs/>
          <w:sz w:val="24"/>
          <w:szCs w:val="24"/>
        </w:rPr>
        <w:t>, która jest wykorzystywana do zarządzania i oceny zdolności kredytowej, a co za tym idzie – do określenia potencjału inwestycyjnego oraz programowania podstawowych wielkości przyszłych budżetów. Zachowanie podstawowej zasady jawności i przejrzystości finansów publicznych wymaga między innymi jasnego określenia i upublicznienia przesłanek i założeń polityki finansowej i ich przewidywanych skutków.</w:t>
      </w:r>
    </w:p>
    <w:p w14:paraId="7936D790" w14:textId="61C10C18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lastRenderedPageBreak/>
        <w:t>Przygotowanie wieloletniej prognozy finansowej umożliwia weryfikację długookresowej stabilności finansowej jednostki samorządu terytorialnego</w:t>
      </w:r>
      <w:r w:rsidR="00F244C8">
        <w:rPr>
          <w:rFonts w:ascii="Times New Roman" w:hAnsi="Times New Roman" w:cs="Times New Roman"/>
          <w:sz w:val="24"/>
          <w:szCs w:val="24"/>
        </w:rPr>
        <w:t>, a tym samym pomaga ujawnić ewentualne potencjalne problemy</w:t>
      </w:r>
      <w:r w:rsidRPr="00283E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44C8">
        <w:rPr>
          <w:rFonts w:ascii="Times New Roman" w:hAnsi="Times New Roman" w:cs="Times New Roman"/>
          <w:sz w:val="24"/>
          <w:szCs w:val="24"/>
        </w:rPr>
        <w:t>z jakimi mogą  być skonfrontowane budżety konstruowane w latach następnych.</w:t>
      </w:r>
    </w:p>
    <w:p w14:paraId="47F8A58D" w14:textId="77777777" w:rsidR="00283E4C" w:rsidRPr="00283E4C" w:rsidRDefault="00283E4C" w:rsidP="00283E4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b/>
          <w:bCs/>
          <w:sz w:val="24"/>
          <w:szCs w:val="24"/>
        </w:rPr>
        <w:t xml:space="preserve">ZAŁOŻENIA DO PROGNOZY DOCHODÓW I WYDATKÓW </w:t>
      </w:r>
    </w:p>
    <w:p w14:paraId="28F3DDFA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Zwracając uwagę na kroczący charakter prognozy, która corocznie będzie nowelizowana przyjęto następujące założenia:</w:t>
      </w:r>
    </w:p>
    <w:p w14:paraId="2E978BCD" w14:textId="7910D775" w:rsidR="00283E4C" w:rsidRDefault="00283E4C" w:rsidP="00F244C8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C8">
        <w:rPr>
          <w:rFonts w:ascii="Times New Roman" w:hAnsi="Times New Roman" w:cs="Times New Roman"/>
          <w:sz w:val="24"/>
          <w:szCs w:val="24"/>
        </w:rPr>
        <w:t>dla roku 202</w:t>
      </w:r>
      <w:r w:rsidR="00D90867" w:rsidRPr="00F244C8">
        <w:rPr>
          <w:rFonts w:ascii="Times New Roman" w:hAnsi="Times New Roman" w:cs="Times New Roman"/>
          <w:sz w:val="24"/>
          <w:szCs w:val="24"/>
        </w:rPr>
        <w:t>2</w:t>
      </w:r>
      <w:r w:rsidRPr="00F244C8">
        <w:rPr>
          <w:rFonts w:ascii="Times New Roman" w:hAnsi="Times New Roman" w:cs="Times New Roman"/>
          <w:sz w:val="24"/>
          <w:szCs w:val="24"/>
        </w:rPr>
        <w:t xml:space="preserve"> przyjęto wartości wynikające z projektu budżetu, oparte na przewidywanym wykonani</w:t>
      </w:r>
      <w:r w:rsidR="00273CFD">
        <w:rPr>
          <w:rFonts w:ascii="Times New Roman" w:hAnsi="Times New Roman" w:cs="Times New Roman"/>
          <w:sz w:val="24"/>
          <w:szCs w:val="24"/>
        </w:rPr>
        <w:t>u</w:t>
      </w:r>
      <w:r w:rsidR="00F244C8" w:rsidRPr="00F244C8">
        <w:rPr>
          <w:rFonts w:ascii="Times New Roman" w:hAnsi="Times New Roman" w:cs="Times New Roman"/>
          <w:sz w:val="24"/>
          <w:szCs w:val="24"/>
        </w:rPr>
        <w:t xml:space="preserve"> </w:t>
      </w:r>
      <w:r w:rsidRPr="00F244C8">
        <w:rPr>
          <w:rFonts w:ascii="Times New Roman" w:hAnsi="Times New Roman" w:cs="Times New Roman"/>
          <w:sz w:val="24"/>
          <w:szCs w:val="24"/>
        </w:rPr>
        <w:t>w 20</w:t>
      </w:r>
      <w:r w:rsidR="00D93D97" w:rsidRPr="00F244C8">
        <w:rPr>
          <w:rFonts w:ascii="Times New Roman" w:hAnsi="Times New Roman" w:cs="Times New Roman"/>
          <w:sz w:val="24"/>
          <w:szCs w:val="24"/>
        </w:rPr>
        <w:t>2</w:t>
      </w:r>
      <w:r w:rsidR="00D90867" w:rsidRPr="00F244C8">
        <w:rPr>
          <w:rFonts w:ascii="Times New Roman" w:hAnsi="Times New Roman" w:cs="Times New Roman"/>
          <w:sz w:val="24"/>
          <w:szCs w:val="24"/>
        </w:rPr>
        <w:t>1</w:t>
      </w:r>
      <w:r w:rsidR="00D93D97" w:rsidRPr="00F244C8">
        <w:rPr>
          <w:rFonts w:ascii="Times New Roman" w:hAnsi="Times New Roman" w:cs="Times New Roman"/>
          <w:sz w:val="24"/>
          <w:szCs w:val="24"/>
        </w:rPr>
        <w:t xml:space="preserve"> </w:t>
      </w:r>
      <w:r w:rsidRPr="00F244C8">
        <w:rPr>
          <w:rFonts w:ascii="Times New Roman" w:hAnsi="Times New Roman" w:cs="Times New Roman"/>
          <w:sz w:val="24"/>
          <w:szCs w:val="24"/>
        </w:rPr>
        <w:t>r. oraz korekty merytoryczne;</w:t>
      </w:r>
    </w:p>
    <w:p w14:paraId="546BB1D8" w14:textId="16F84445" w:rsidR="00F244C8" w:rsidRPr="00F244C8" w:rsidRDefault="00F244C8" w:rsidP="00F244C8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 r. nie planuje się zaciągnięcia nowych zobowiązań wynikających z pożyczek i wyemitowania papierów wartościowych;</w:t>
      </w:r>
    </w:p>
    <w:p w14:paraId="06DAF1FF" w14:textId="24DE353F" w:rsidR="00283E4C" w:rsidRDefault="00273CFD" w:rsidP="00F244C8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2022 jest rokiem bazowym do planowania dochodów i wydatków na lata 2023 – 2030;</w:t>
      </w:r>
    </w:p>
    <w:p w14:paraId="3413ACB8" w14:textId="594A6ED2" w:rsidR="00F244C8" w:rsidRPr="00812E8E" w:rsidRDefault="00F244C8" w:rsidP="00F244C8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sz w:val="24"/>
          <w:szCs w:val="24"/>
        </w:rPr>
        <w:t>d</w:t>
      </w:r>
      <w:r w:rsidR="00D90867" w:rsidRPr="00812E8E">
        <w:rPr>
          <w:rFonts w:ascii="Times New Roman" w:hAnsi="Times New Roman" w:cs="Times New Roman"/>
          <w:sz w:val="24"/>
          <w:szCs w:val="24"/>
        </w:rPr>
        <w:t>la prognozy w latach 2023 – 2030 przyjęto średni wzrost dochodów</w:t>
      </w:r>
      <w:r w:rsidRPr="00812E8E">
        <w:rPr>
          <w:rFonts w:ascii="Times New Roman" w:hAnsi="Times New Roman" w:cs="Times New Roman"/>
          <w:sz w:val="24"/>
          <w:szCs w:val="24"/>
        </w:rPr>
        <w:t xml:space="preserve"> bieżących o 4%</w:t>
      </w:r>
      <w:r w:rsidR="00273CFD" w:rsidRPr="00812E8E">
        <w:rPr>
          <w:rFonts w:ascii="Times New Roman" w:hAnsi="Times New Roman" w:cs="Times New Roman"/>
          <w:sz w:val="24"/>
          <w:szCs w:val="24"/>
        </w:rPr>
        <w:t xml:space="preserve"> w stosunku do roku bazowego</w:t>
      </w:r>
      <w:r w:rsidRPr="00812E8E">
        <w:rPr>
          <w:rFonts w:ascii="Times New Roman" w:hAnsi="Times New Roman" w:cs="Times New Roman"/>
          <w:sz w:val="24"/>
          <w:szCs w:val="24"/>
        </w:rPr>
        <w:t>;</w:t>
      </w:r>
    </w:p>
    <w:p w14:paraId="7541F8E6" w14:textId="3C3C388B" w:rsidR="00F244C8" w:rsidRPr="00812E8E" w:rsidRDefault="00F244C8" w:rsidP="00273CFD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sz w:val="24"/>
          <w:szCs w:val="24"/>
        </w:rPr>
        <w:t>dla prognozy w latach 2023 – 2030 przyjęto średni wzrost wydatków bieżących o</w:t>
      </w:r>
      <w:r w:rsidR="00D90867" w:rsidRPr="00812E8E">
        <w:rPr>
          <w:rFonts w:ascii="Times New Roman" w:hAnsi="Times New Roman" w:cs="Times New Roman"/>
          <w:sz w:val="24"/>
          <w:szCs w:val="24"/>
        </w:rPr>
        <w:t xml:space="preserve"> 2%</w:t>
      </w:r>
      <w:r w:rsidR="00273CFD" w:rsidRPr="00812E8E">
        <w:rPr>
          <w:rFonts w:ascii="Times New Roman" w:hAnsi="Times New Roman" w:cs="Times New Roman"/>
          <w:sz w:val="24"/>
          <w:szCs w:val="24"/>
        </w:rPr>
        <w:t xml:space="preserve"> w stosunku do roku bazowego;</w:t>
      </w:r>
    </w:p>
    <w:p w14:paraId="02016D62" w14:textId="4B154365" w:rsidR="00273CFD" w:rsidRPr="00812E8E" w:rsidRDefault="00273CFD" w:rsidP="00273CFD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sz w:val="24"/>
          <w:szCs w:val="24"/>
        </w:rPr>
        <w:t xml:space="preserve">dla prognozy w latach 2023 – 2030 </w:t>
      </w:r>
      <w:r w:rsidR="001D22C1" w:rsidRPr="00812E8E">
        <w:rPr>
          <w:rFonts w:ascii="Times New Roman" w:hAnsi="Times New Roman" w:cs="Times New Roman"/>
          <w:sz w:val="24"/>
          <w:szCs w:val="24"/>
        </w:rPr>
        <w:t xml:space="preserve">przyjęto średni wzrost </w:t>
      </w:r>
      <w:r w:rsidR="00F81073" w:rsidRPr="00812E8E">
        <w:rPr>
          <w:rFonts w:ascii="Times New Roman" w:hAnsi="Times New Roman" w:cs="Times New Roman"/>
          <w:sz w:val="24"/>
          <w:szCs w:val="24"/>
        </w:rPr>
        <w:t>wpływów z t</w:t>
      </w:r>
      <w:r w:rsidRPr="00812E8E">
        <w:rPr>
          <w:rFonts w:ascii="Times New Roman" w:hAnsi="Times New Roman" w:cs="Times New Roman"/>
          <w:sz w:val="24"/>
          <w:szCs w:val="24"/>
        </w:rPr>
        <w:t xml:space="preserve">ytułu podatku dochodowego od osób fizycznych </w:t>
      </w:r>
      <w:r w:rsidR="00F81073" w:rsidRPr="00812E8E">
        <w:rPr>
          <w:rFonts w:ascii="Times New Roman" w:hAnsi="Times New Roman" w:cs="Times New Roman"/>
          <w:sz w:val="24"/>
          <w:szCs w:val="24"/>
        </w:rPr>
        <w:t xml:space="preserve">  o 3% </w:t>
      </w:r>
      <w:r w:rsidRPr="00812E8E">
        <w:rPr>
          <w:rFonts w:ascii="Times New Roman" w:hAnsi="Times New Roman" w:cs="Times New Roman"/>
          <w:sz w:val="24"/>
          <w:szCs w:val="24"/>
        </w:rPr>
        <w:t>w stosunku do roku bazowego;</w:t>
      </w:r>
    </w:p>
    <w:p w14:paraId="04B37BF4" w14:textId="100D08A3" w:rsidR="001D22C1" w:rsidRDefault="001D22C1" w:rsidP="00283E4C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prognozy w latach 2023 – 2030 </w:t>
      </w:r>
      <w:r w:rsidR="001E13CB">
        <w:rPr>
          <w:rFonts w:ascii="Times New Roman" w:hAnsi="Times New Roman" w:cs="Times New Roman"/>
          <w:sz w:val="24"/>
          <w:szCs w:val="24"/>
        </w:rPr>
        <w:t xml:space="preserve">wpływy z tytułu </w:t>
      </w:r>
      <w:r w:rsidR="00283E4C" w:rsidRPr="001D22C1">
        <w:rPr>
          <w:rFonts w:ascii="Times New Roman" w:hAnsi="Times New Roman" w:cs="Times New Roman"/>
          <w:sz w:val="24"/>
          <w:szCs w:val="24"/>
        </w:rPr>
        <w:t>podatk</w:t>
      </w:r>
      <w:r w:rsidR="001E13CB">
        <w:rPr>
          <w:rFonts w:ascii="Times New Roman" w:hAnsi="Times New Roman" w:cs="Times New Roman"/>
          <w:sz w:val="24"/>
          <w:szCs w:val="24"/>
        </w:rPr>
        <w:t>u</w:t>
      </w:r>
      <w:r w:rsidR="00283E4C" w:rsidRPr="001D22C1">
        <w:rPr>
          <w:rFonts w:ascii="Times New Roman" w:hAnsi="Times New Roman" w:cs="Times New Roman"/>
          <w:sz w:val="24"/>
          <w:szCs w:val="24"/>
        </w:rPr>
        <w:t xml:space="preserve"> od nieruchomości</w:t>
      </w:r>
      <w:r w:rsidR="001E13CB">
        <w:rPr>
          <w:rFonts w:ascii="Times New Roman" w:hAnsi="Times New Roman" w:cs="Times New Roman"/>
          <w:sz w:val="24"/>
          <w:szCs w:val="24"/>
        </w:rPr>
        <w:t xml:space="preserve"> </w:t>
      </w:r>
      <w:r w:rsidR="00283E4C" w:rsidRPr="001D22C1">
        <w:rPr>
          <w:rFonts w:ascii="Times New Roman" w:hAnsi="Times New Roman" w:cs="Times New Roman"/>
          <w:sz w:val="24"/>
          <w:szCs w:val="24"/>
        </w:rPr>
        <w:t>ustalono na poziomie roku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3E4C" w:rsidRPr="001D22C1">
        <w:rPr>
          <w:rFonts w:ascii="Times New Roman" w:hAnsi="Times New Roman" w:cs="Times New Roman"/>
          <w:sz w:val="24"/>
          <w:szCs w:val="24"/>
        </w:rPr>
        <w:t>, a następnie skorygowano o wzrost podatku od nieruchomości z tytułu nowych obiektów przyjętych do użytkowania</w:t>
      </w:r>
      <w:r w:rsidR="00F81073" w:rsidRPr="001D22C1">
        <w:rPr>
          <w:rFonts w:ascii="Times New Roman" w:hAnsi="Times New Roman" w:cs="Times New Roman"/>
          <w:sz w:val="24"/>
          <w:szCs w:val="24"/>
        </w:rPr>
        <w:t xml:space="preserve"> oraz</w:t>
      </w:r>
      <w:r w:rsidR="00283E4C" w:rsidRPr="001D22C1">
        <w:rPr>
          <w:rFonts w:ascii="Times New Roman" w:hAnsi="Times New Roman" w:cs="Times New Roman"/>
          <w:sz w:val="24"/>
          <w:szCs w:val="24"/>
        </w:rPr>
        <w:t xml:space="preserve"> zmiany w zakresie opodatkowania nieruchomości</w:t>
      </w:r>
      <w:r>
        <w:rPr>
          <w:rFonts w:ascii="Times New Roman" w:hAnsi="Times New Roman" w:cs="Times New Roman"/>
          <w:sz w:val="24"/>
          <w:szCs w:val="24"/>
        </w:rPr>
        <w:t xml:space="preserve"> (na</w:t>
      </w:r>
      <w:r w:rsidR="00F81073" w:rsidRPr="001D22C1">
        <w:rPr>
          <w:rFonts w:ascii="Times New Roman" w:hAnsi="Times New Roman" w:cs="Times New Roman"/>
          <w:sz w:val="24"/>
          <w:szCs w:val="24"/>
        </w:rPr>
        <w:t xml:space="preserve"> 2022 r. </w:t>
      </w:r>
      <w:r w:rsidR="00283E4C" w:rsidRPr="001D22C1">
        <w:rPr>
          <w:rFonts w:ascii="Times New Roman" w:hAnsi="Times New Roman" w:cs="Times New Roman"/>
          <w:sz w:val="24"/>
          <w:szCs w:val="24"/>
        </w:rPr>
        <w:t xml:space="preserve"> </w:t>
      </w:r>
      <w:r w:rsidR="00F81073" w:rsidRPr="001D22C1">
        <w:rPr>
          <w:rFonts w:ascii="Times New Roman" w:hAnsi="Times New Roman" w:cs="Times New Roman"/>
          <w:sz w:val="24"/>
          <w:szCs w:val="24"/>
        </w:rPr>
        <w:t>n</w:t>
      </w:r>
      <w:r w:rsidR="00283E4C" w:rsidRPr="001D22C1">
        <w:rPr>
          <w:rFonts w:ascii="Times New Roman" w:hAnsi="Times New Roman" w:cs="Times New Roman"/>
          <w:sz w:val="24"/>
          <w:szCs w:val="24"/>
        </w:rPr>
        <w:t>ie założono wzrostu stawek podatkowych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0501D68" w14:textId="2AACC9CE" w:rsidR="00283E4C" w:rsidRDefault="001D22C1" w:rsidP="00283E4C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prognozy w latach 2023 -2030 przyjęto średni wzrost dochodów z tytułu subwencji i dotacji o</w:t>
      </w:r>
      <w:r w:rsidR="001E13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2% w stosunku do roku bazowego;</w:t>
      </w:r>
      <w:r w:rsidR="00283E4C" w:rsidRPr="001D2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EF2F" w14:textId="3D75200E" w:rsidR="00283E4C" w:rsidRDefault="001D22C1" w:rsidP="00283E4C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3E4C" w:rsidRPr="001D22C1">
        <w:rPr>
          <w:rFonts w:ascii="Times New Roman" w:hAnsi="Times New Roman" w:cs="Times New Roman"/>
          <w:sz w:val="24"/>
          <w:szCs w:val="24"/>
        </w:rPr>
        <w:t xml:space="preserve">ochody z tytułu sprzedaży majątku  </w:t>
      </w:r>
      <w:r w:rsidR="009B66B0" w:rsidRPr="001D22C1">
        <w:rPr>
          <w:rFonts w:ascii="Times New Roman" w:hAnsi="Times New Roman" w:cs="Times New Roman"/>
          <w:sz w:val="24"/>
          <w:szCs w:val="24"/>
        </w:rPr>
        <w:t>w 202</w:t>
      </w:r>
      <w:r w:rsidR="00F81073" w:rsidRPr="001D22C1">
        <w:rPr>
          <w:rFonts w:ascii="Times New Roman" w:hAnsi="Times New Roman" w:cs="Times New Roman"/>
          <w:sz w:val="24"/>
          <w:szCs w:val="24"/>
        </w:rPr>
        <w:t>2</w:t>
      </w:r>
      <w:r w:rsidR="009B66B0" w:rsidRPr="001D22C1">
        <w:rPr>
          <w:rFonts w:ascii="Times New Roman" w:hAnsi="Times New Roman" w:cs="Times New Roman"/>
          <w:sz w:val="24"/>
          <w:szCs w:val="24"/>
        </w:rPr>
        <w:t xml:space="preserve">r. przyjęto na poziomie </w:t>
      </w:r>
      <w:r w:rsidR="00F81073" w:rsidRPr="001D22C1">
        <w:rPr>
          <w:rFonts w:ascii="Times New Roman" w:hAnsi="Times New Roman" w:cs="Times New Roman"/>
          <w:sz w:val="24"/>
          <w:szCs w:val="24"/>
        </w:rPr>
        <w:t>10</w:t>
      </w:r>
      <w:r w:rsidR="009B66B0" w:rsidRPr="001D22C1">
        <w:rPr>
          <w:rFonts w:ascii="Times New Roman" w:hAnsi="Times New Roman" w:cs="Times New Roman"/>
          <w:sz w:val="24"/>
          <w:szCs w:val="24"/>
        </w:rPr>
        <w:t xml:space="preserve">0 000,00 zł </w:t>
      </w:r>
      <w:r w:rsidR="00F81073" w:rsidRPr="001D22C1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B66B0" w:rsidRPr="001D22C1">
        <w:rPr>
          <w:rFonts w:ascii="Times New Roman" w:hAnsi="Times New Roman" w:cs="Times New Roman"/>
          <w:sz w:val="24"/>
          <w:szCs w:val="24"/>
        </w:rPr>
        <w:t xml:space="preserve"> w kolejnych latach </w:t>
      </w:r>
      <w:r w:rsidR="00283E4C" w:rsidRPr="001D22C1">
        <w:rPr>
          <w:rFonts w:ascii="Times New Roman" w:hAnsi="Times New Roman" w:cs="Times New Roman"/>
          <w:sz w:val="24"/>
          <w:szCs w:val="24"/>
        </w:rPr>
        <w:t>202</w:t>
      </w:r>
      <w:r w:rsidR="00EE5234" w:rsidRPr="001D22C1">
        <w:rPr>
          <w:rFonts w:ascii="Times New Roman" w:hAnsi="Times New Roman" w:cs="Times New Roman"/>
          <w:sz w:val="24"/>
          <w:szCs w:val="24"/>
        </w:rPr>
        <w:t>3</w:t>
      </w:r>
      <w:r w:rsidR="00283E4C" w:rsidRPr="001D22C1">
        <w:rPr>
          <w:rFonts w:ascii="Times New Roman" w:hAnsi="Times New Roman" w:cs="Times New Roman"/>
          <w:sz w:val="24"/>
          <w:szCs w:val="24"/>
        </w:rPr>
        <w:t>-2030 na poziomie średnio 100.000 zł</w:t>
      </w:r>
      <w:r w:rsidR="001E13CB">
        <w:rPr>
          <w:rFonts w:ascii="Times New Roman" w:hAnsi="Times New Roman" w:cs="Times New Roman"/>
          <w:sz w:val="24"/>
          <w:szCs w:val="24"/>
        </w:rPr>
        <w:t>;</w:t>
      </w:r>
    </w:p>
    <w:p w14:paraId="018FD01F" w14:textId="132F19E1" w:rsidR="00283E4C" w:rsidRPr="00F0170E" w:rsidRDefault="001E13CB" w:rsidP="00283E4C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0E">
        <w:rPr>
          <w:rFonts w:ascii="Times New Roman" w:hAnsi="Times New Roman" w:cs="Times New Roman"/>
          <w:sz w:val="24"/>
          <w:szCs w:val="24"/>
        </w:rPr>
        <w:t>w</w:t>
      </w:r>
      <w:r w:rsidR="00283E4C" w:rsidRPr="00F0170E">
        <w:rPr>
          <w:rFonts w:ascii="Times New Roman" w:hAnsi="Times New Roman" w:cs="Times New Roman"/>
          <w:sz w:val="24"/>
          <w:szCs w:val="24"/>
        </w:rPr>
        <w:t xml:space="preserve"> latach 202</w:t>
      </w:r>
      <w:r w:rsidR="00EE5234" w:rsidRPr="00F0170E">
        <w:rPr>
          <w:rFonts w:ascii="Times New Roman" w:hAnsi="Times New Roman" w:cs="Times New Roman"/>
          <w:sz w:val="24"/>
          <w:szCs w:val="24"/>
        </w:rPr>
        <w:t>2</w:t>
      </w:r>
      <w:r w:rsidR="00283E4C" w:rsidRPr="00F0170E">
        <w:rPr>
          <w:rFonts w:ascii="Times New Roman" w:hAnsi="Times New Roman" w:cs="Times New Roman"/>
          <w:sz w:val="24"/>
          <w:szCs w:val="24"/>
        </w:rPr>
        <w:t>-202</w:t>
      </w:r>
      <w:r w:rsidR="00EE5234" w:rsidRPr="00F0170E">
        <w:rPr>
          <w:rFonts w:ascii="Times New Roman" w:hAnsi="Times New Roman" w:cs="Times New Roman"/>
          <w:sz w:val="24"/>
          <w:szCs w:val="24"/>
        </w:rPr>
        <w:t>3</w:t>
      </w:r>
      <w:r w:rsidRPr="00F0170E">
        <w:rPr>
          <w:rFonts w:ascii="Times New Roman" w:hAnsi="Times New Roman" w:cs="Times New Roman"/>
          <w:sz w:val="24"/>
          <w:szCs w:val="24"/>
        </w:rPr>
        <w:t xml:space="preserve"> </w:t>
      </w:r>
      <w:r w:rsidR="00283E4C" w:rsidRPr="00F0170E">
        <w:rPr>
          <w:rFonts w:ascii="Times New Roman" w:hAnsi="Times New Roman" w:cs="Times New Roman"/>
          <w:sz w:val="24"/>
          <w:szCs w:val="24"/>
        </w:rPr>
        <w:t>przewiduje się uzyskanie dochodów z</w:t>
      </w:r>
      <w:r w:rsidRPr="00F0170E">
        <w:rPr>
          <w:rFonts w:ascii="Times New Roman" w:hAnsi="Times New Roman" w:cs="Times New Roman"/>
          <w:sz w:val="24"/>
          <w:szCs w:val="24"/>
        </w:rPr>
        <w:t xml:space="preserve"> zewnętrznych źródeł finansowania (Rządowy Fundusz Rozwoju Dróg,</w:t>
      </w:r>
      <w:r w:rsidR="004A033D" w:rsidRPr="00F0170E">
        <w:rPr>
          <w:rFonts w:ascii="Times New Roman" w:hAnsi="Times New Roman" w:cs="Times New Roman"/>
          <w:sz w:val="24"/>
          <w:szCs w:val="24"/>
        </w:rPr>
        <w:t xml:space="preserve"> Fundusz Inwestycji Strategicznych,</w:t>
      </w:r>
      <w:r w:rsidRPr="00F0170E">
        <w:rPr>
          <w:rFonts w:ascii="Times New Roman" w:hAnsi="Times New Roman" w:cs="Times New Roman"/>
          <w:sz w:val="24"/>
          <w:szCs w:val="24"/>
        </w:rPr>
        <w:t xml:space="preserve"> Fundusz Przeciwdziałania Covid – 19, środki pochodzące z UE</w:t>
      </w:r>
      <w:r w:rsidR="00812E8E" w:rsidRPr="00F0170E">
        <w:rPr>
          <w:rFonts w:ascii="Times New Roman" w:hAnsi="Times New Roman" w:cs="Times New Roman"/>
          <w:sz w:val="24"/>
          <w:szCs w:val="24"/>
        </w:rPr>
        <w:t>,</w:t>
      </w:r>
      <w:r w:rsidRPr="00F0170E">
        <w:rPr>
          <w:rFonts w:ascii="Times New Roman" w:hAnsi="Times New Roman" w:cs="Times New Roman"/>
          <w:sz w:val="24"/>
          <w:szCs w:val="24"/>
        </w:rPr>
        <w:t xml:space="preserve"> środki pochodzące z budżetu państwa itd.) </w:t>
      </w:r>
      <w:r w:rsidR="00283E4C" w:rsidRPr="00F0170E">
        <w:rPr>
          <w:rFonts w:ascii="Times New Roman" w:hAnsi="Times New Roman" w:cs="Times New Roman"/>
          <w:sz w:val="24"/>
          <w:szCs w:val="24"/>
        </w:rPr>
        <w:t xml:space="preserve"> na</w:t>
      </w:r>
      <w:r w:rsidRPr="00F0170E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283E4C" w:rsidRPr="00F0170E">
        <w:rPr>
          <w:rFonts w:ascii="Times New Roman" w:hAnsi="Times New Roman" w:cs="Times New Roman"/>
          <w:sz w:val="24"/>
          <w:szCs w:val="24"/>
        </w:rPr>
        <w:t xml:space="preserve"> inwestycj</w:t>
      </w:r>
      <w:r w:rsidRPr="00F0170E">
        <w:rPr>
          <w:rFonts w:ascii="Times New Roman" w:hAnsi="Times New Roman" w:cs="Times New Roman"/>
          <w:sz w:val="24"/>
          <w:szCs w:val="24"/>
        </w:rPr>
        <w:t>i</w:t>
      </w:r>
      <w:r w:rsidR="00283E4C" w:rsidRPr="00F0170E">
        <w:rPr>
          <w:rFonts w:ascii="Times New Roman" w:hAnsi="Times New Roman" w:cs="Times New Roman"/>
          <w:sz w:val="24"/>
          <w:szCs w:val="24"/>
        </w:rPr>
        <w:t xml:space="preserve"> w</w:t>
      </w:r>
      <w:r w:rsidR="00281CB3" w:rsidRPr="00F0170E">
        <w:rPr>
          <w:rFonts w:ascii="Times New Roman" w:hAnsi="Times New Roman" w:cs="Times New Roman"/>
          <w:sz w:val="24"/>
          <w:szCs w:val="24"/>
        </w:rPr>
        <w:t> </w:t>
      </w:r>
      <w:r w:rsidR="00283E4C" w:rsidRPr="00F0170E">
        <w:rPr>
          <w:rFonts w:ascii="Times New Roman" w:hAnsi="Times New Roman" w:cs="Times New Roman"/>
          <w:sz w:val="24"/>
          <w:szCs w:val="24"/>
        </w:rPr>
        <w:t>kwo</w:t>
      </w:r>
      <w:r w:rsidRPr="00F0170E">
        <w:rPr>
          <w:rFonts w:ascii="Times New Roman" w:hAnsi="Times New Roman" w:cs="Times New Roman"/>
          <w:sz w:val="24"/>
          <w:szCs w:val="24"/>
        </w:rPr>
        <w:t xml:space="preserve">cie </w:t>
      </w:r>
      <w:r w:rsidR="00812E8E" w:rsidRPr="00F0170E">
        <w:rPr>
          <w:rFonts w:ascii="Times New Roman" w:hAnsi="Times New Roman" w:cs="Times New Roman"/>
          <w:sz w:val="24"/>
          <w:szCs w:val="24"/>
        </w:rPr>
        <w:t>13.4</w:t>
      </w:r>
      <w:r w:rsidR="00F0170E" w:rsidRPr="00F0170E">
        <w:rPr>
          <w:rFonts w:ascii="Times New Roman" w:hAnsi="Times New Roman" w:cs="Times New Roman"/>
          <w:sz w:val="24"/>
          <w:szCs w:val="24"/>
        </w:rPr>
        <w:t>00.000,00 zł</w:t>
      </w:r>
      <w:r w:rsidR="00812E8E" w:rsidRPr="00F0170E">
        <w:rPr>
          <w:rFonts w:ascii="Times New Roman" w:hAnsi="Times New Roman" w:cs="Times New Roman"/>
          <w:sz w:val="24"/>
          <w:szCs w:val="24"/>
        </w:rPr>
        <w:t xml:space="preserve"> (z tego środki z UE - </w:t>
      </w:r>
      <w:r w:rsidR="00812E8E" w:rsidRPr="00F0170E">
        <w:rPr>
          <w:rFonts w:ascii="Times New Roman" w:eastAsia="Symbol" w:hAnsi="Times New Roman"/>
          <w:noProof/>
          <w:sz w:val="24"/>
          <w:szCs w:val="24"/>
          <w:lang w:eastAsia="pl-PL"/>
        </w:rPr>
        <w:t>1.3</w:t>
      </w:r>
      <w:r w:rsidR="00F0170E" w:rsidRPr="00F0170E">
        <w:rPr>
          <w:rFonts w:ascii="Times New Roman" w:eastAsia="Symbol" w:hAnsi="Times New Roman"/>
          <w:noProof/>
          <w:sz w:val="24"/>
          <w:szCs w:val="24"/>
          <w:lang w:eastAsia="pl-PL"/>
        </w:rPr>
        <w:t>00.000,00</w:t>
      </w:r>
      <w:r w:rsidR="00812E8E" w:rsidRPr="00F0170E">
        <w:rPr>
          <w:rFonts w:ascii="Times New Roman" w:eastAsia="Symbol" w:hAnsi="Times New Roman"/>
          <w:noProof/>
          <w:sz w:val="24"/>
          <w:szCs w:val="24"/>
          <w:lang w:eastAsia="pl-PL"/>
        </w:rPr>
        <w:t xml:space="preserve"> zł,</w:t>
      </w:r>
      <w:r w:rsidR="00283E4C" w:rsidRPr="00F0170E">
        <w:rPr>
          <w:rFonts w:ascii="Times New Roman" w:hAnsi="Times New Roman" w:cs="Times New Roman"/>
          <w:sz w:val="24"/>
          <w:szCs w:val="24"/>
        </w:rPr>
        <w:t xml:space="preserve"> w roku 202</w:t>
      </w:r>
      <w:r w:rsidRPr="00F0170E">
        <w:rPr>
          <w:rFonts w:ascii="Times New Roman" w:hAnsi="Times New Roman" w:cs="Times New Roman"/>
          <w:sz w:val="24"/>
          <w:szCs w:val="24"/>
        </w:rPr>
        <w:t>2</w:t>
      </w:r>
      <w:r w:rsidR="00283E4C" w:rsidRPr="00F0170E">
        <w:rPr>
          <w:rFonts w:ascii="Times New Roman" w:hAnsi="Times New Roman" w:cs="Times New Roman"/>
          <w:sz w:val="24"/>
          <w:szCs w:val="24"/>
        </w:rPr>
        <w:t xml:space="preserve"> oraz </w:t>
      </w:r>
      <w:r w:rsidR="00EF7DB0">
        <w:rPr>
          <w:rFonts w:ascii="Times New Roman" w:hAnsi="Times New Roman" w:cs="Times New Roman"/>
          <w:sz w:val="24"/>
          <w:szCs w:val="24"/>
        </w:rPr>
        <w:t>4</w:t>
      </w:r>
      <w:r w:rsidR="00F0170E" w:rsidRPr="00F0170E">
        <w:rPr>
          <w:rFonts w:ascii="Times New Roman" w:hAnsi="Times New Roman" w:cs="Times New Roman"/>
          <w:sz w:val="24"/>
          <w:szCs w:val="24"/>
        </w:rPr>
        <w:t>.910.000,00</w:t>
      </w:r>
      <w:r w:rsidR="00874EE2" w:rsidRPr="00F0170E">
        <w:rPr>
          <w:rFonts w:ascii="Times New Roman" w:hAnsi="Times New Roman" w:cs="Times New Roman"/>
          <w:sz w:val="24"/>
          <w:szCs w:val="24"/>
        </w:rPr>
        <w:t>zł w 202</w:t>
      </w:r>
      <w:r w:rsidRPr="00F0170E">
        <w:rPr>
          <w:rFonts w:ascii="Times New Roman" w:hAnsi="Times New Roman" w:cs="Times New Roman"/>
          <w:sz w:val="24"/>
          <w:szCs w:val="24"/>
        </w:rPr>
        <w:t>3</w:t>
      </w:r>
      <w:r w:rsidR="00812E8E" w:rsidRPr="00F0170E">
        <w:rPr>
          <w:rFonts w:ascii="Times New Roman" w:hAnsi="Times New Roman" w:cs="Times New Roman"/>
          <w:sz w:val="24"/>
          <w:szCs w:val="24"/>
        </w:rPr>
        <w:t xml:space="preserve"> r. </w:t>
      </w:r>
      <w:r w:rsidR="00F0170E">
        <w:rPr>
          <w:rFonts w:ascii="Times New Roman" w:hAnsi="Times New Roman" w:cs="Times New Roman"/>
          <w:sz w:val="24"/>
          <w:szCs w:val="24"/>
        </w:rPr>
        <w:t>;</w:t>
      </w:r>
    </w:p>
    <w:p w14:paraId="1AF175BE" w14:textId="099C7F54" w:rsidR="001E13CB" w:rsidRDefault="001E13CB" w:rsidP="00283E4C">
      <w:pPr>
        <w:pStyle w:val="Akapitzlist"/>
        <w:numPr>
          <w:ilvl w:val="0"/>
          <w:numId w:val="2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83E4C" w:rsidRPr="001E13CB">
        <w:rPr>
          <w:rFonts w:ascii="Times New Roman" w:hAnsi="Times New Roman" w:cs="Times New Roman"/>
          <w:sz w:val="24"/>
          <w:szCs w:val="24"/>
        </w:rPr>
        <w:t>ydatki majątkowe w latach 202</w:t>
      </w:r>
      <w:r w:rsidR="00EE5234" w:rsidRPr="001E13CB">
        <w:rPr>
          <w:rFonts w:ascii="Times New Roman" w:hAnsi="Times New Roman" w:cs="Times New Roman"/>
          <w:sz w:val="24"/>
          <w:szCs w:val="24"/>
        </w:rPr>
        <w:t>2</w:t>
      </w:r>
      <w:r w:rsidR="00283E4C" w:rsidRPr="001E13CB">
        <w:rPr>
          <w:rFonts w:ascii="Times New Roman" w:hAnsi="Times New Roman" w:cs="Times New Roman"/>
          <w:sz w:val="24"/>
          <w:szCs w:val="24"/>
        </w:rPr>
        <w:t xml:space="preserve"> - 2030 zaplanowano w łącznej </w:t>
      </w:r>
      <w:r w:rsidR="00283E4C" w:rsidRPr="00A86617">
        <w:rPr>
          <w:rFonts w:ascii="Times New Roman" w:hAnsi="Times New Roman" w:cs="Times New Roman"/>
          <w:sz w:val="24"/>
          <w:szCs w:val="24"/>
        </w:rPr>
        <w:t xml:space="preserve">kwocie </w:t>
      </w:r>
      <w:r w:rsidR="004A033D" w:rsidRPr="00A86617">
        <w:rPr>
          <w:rFonts w:ascii="Times New Roman" w:hAnsi="Times New Roman" w:cs="Times New Roman"/>
          <w:sz w:val="24"/>
          <w:szCs w:val="24"/>
        </w:rPr>
        <w:t>4</w:t>
      </w:r>
      <w:r w:rsidR="00262385">
        <w:rPr>
          <w:rFonts w:ascii="Times New Roman" w:hAnsi="Times New Roman" w:cs="Times New Roman"/>
          <w:sz w:val="24"/>
          <w:szCs w:val="24"/>
        </w:rPr>
        <w:t>6.632</w:t>
      </w:r>
      <w:r w:rsidR="009B578A" w:rsidRPr="00A86617">
        <w:rPr>
          <w:rFonts w:ascii="Times New Roman" w:hAnsi="Times New Roman" w:cs="Times New Roman"/>
          <w:sz w:val="24"/>
          <w:szCs w:val="24"/>
        </w:rPr>
        <w:t>.210,00</w:t>
      </w:r>
      <w:r w:rsidR="00D93D97" w:rsidRPr="00A86617">
        <w:rPr>
          <w:rFonts w:ascii="Times New Roman" w:hAnsi="Times New Roman" w:cs="Times New Roman"/>
          <w:sz w:val="24"/>
          <w:szCs w:val="24"/>
        </w:rPr>
        <w:t xml:space="preserve"> </w:t>
      </w:r>
      <w:r w:rsidR="00283E4C" w:rsidRPr="00A86617">
        <w:rPr>
          <w:rFonts w:ascii="Times New Roman" w:hAnsi="Times New Roman" w:cs="Times New Roman"/>
          <w:sz w:val="24"/>
          <w:szCs w:val="24"/>
        </w:rPr>
        <w:t xml:space="preserve"> </w:t>
      </w:r>
      <w:r w:rsidR="00283E4C" w:rsidRPr="001E13CB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9D0D1" w14:textId="77777777" w:rsidR="00283E4C" w:rsidRPr="00283E4C" w:rsidRDefault="00283E4C" w:rsidP="00283E4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PRZYCHODY, ROZCHODY I OBSŁUGA DŁUGU </w:t>
      </w:r>
    </w:p>
    <w:p w14:paraId="086A7D6D" w14:textId="14237BF0" w:rsidR="00985FC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Przychody w 202</w:t>
      </w:r>
      <w:r w:rsidR="00EE5234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 xml:space="preserve"> roku </w:t>
      </w:r>
      <w:r w:rsidR="00985FCC" w:rsidRPr="0072452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85FC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A03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5FCC">
        <w:rPr>
          <w:rFonts w:ascii="Times New Roman" w:hAnsi="Times New Roman" w:cs="Times New Roman"/>
          <w:b/>
          <w:bCs/>
          <w:sz w:val="24"/>
          <w:szCs w:val="24"/>
        </w:rPr>
        <w:t>68.192,06</w:t>
      </w:r>
      <w:r w:rsidR="00985FCC" w:rsidRPr="0072452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985FCC" w:rsidRPr="00724525">
        <w:rPr>
          <w:rFonts w:ascii="Times New Roman" w:hAnsi="Times New Roman" w:cs="Times New Roman"/>
          <w:sz w:val="24"/>
          <w:szCs w:val="24"/>
        </w:rPr>
        <w:t xml:space="preserve"> </w:t>
      </w:r>
      <w:r w:rsidRPr="00283E4C">
        <w:rPr>
          <w:rFonts w:ascii="Times New Roman" w:hAnsi="Times New Roman" w:cs="Times New Roman"/>
          <w:sz w:val="24"/>
          <w:szCs w:val="24"/>
        </w:rPr>
        <w:t>obejmują</w:t>
      </w:r>
      <w:r w:rsidR="00985FCC">
        <w:rPr>
          <w:rFonts w:ascii="Times New Roman" w:hAnsi="Times New Roman" w:cs="Times New Roman"/>
          <w:sz w:val="24"/>
          <w:szCs w:val="24"/>
        </w:rPr>
        <w:t>:</w:t>
      </w:r>
    </w:p>
    <w:p w14:paraId="4B890460" w14:textId="7EF57785" w:rsidR="00985FCC" w:rsidRPr="00724525" w:rsidRDefault="00985FCC" w:rsidP="00985FCC">
      <w:pPr>
        <w:pStyle w:val="Akapitzlist"/>
        <w:numPr>
          <w:ilvl w:val="0"/>
          <w:numId w:val="23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4525">
        <w:rPr>
          <w:rFonts w:ascii="Times New Roman" w:hAnsi="Times New Roman"/>
          <w:sz w:val="24"/>
          <w:szCs w:val="24"/>
        </w:rPr>
        <w:t xml:space="preserve">raty pożyczki udzielonej Spółdzielni Socjalnej Miedwie w wysokości </w:t>
      </w:r>
      <w:r w:rsidRPr="00724525">
        <w:rPr>
          <w:rFonts w:ascii="Times New Roman" w:hAnsi="Times New Roman"/>
          <w:b/>
          <w:bCs/>
          <w:sz w:val="24"/>
          <w:szCs w:val="24"/>
        </w:rPr>
        <w:t>10.000,00 zł,</w:t>
      </w:r>
    </w:p>
    <w:p w14:paraId="6279BFEC" w14:textId="77777777" w:rsidR="00985FCC" w:rsidRPr="00724525" w:rsidRDefault="00985FCC" w:rsidP="00985FCC">
      <w:pPr>
        <w:pStyle w:val="Akapitzlist"/>
        <w:numPr>
          <w:ilvl w:val="0"/>
          <w:numId w:val="23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4525">
        <w:rPr>
          <w:rFonts w:ascii="Times New Roman" w:hAnsi="Times New Roman"/>
          <w:sz w:val="24"/>
          <w:szCs w:val="24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w wysokości </w:t>
      </w:r>
      <w:r w:rsidRPr="00724525">
        <w:rPr>
          <w:rFonts w:ascii="Times New Roman" w:hAnsi="Times New Roman"/>
          <w:b/>
          <w:bCs/>
          <w:sz w:val="24"/>
          <w:szCs w:val="24"/>
        </w:rPr>
        <w:t>681.973,00 zł.</w:t>
      </w:r>
    </w:p>
    <w:p w14:paraId="73C4B3E5" w14:textId="15B844AC" w:rsidR="00985FCC" w:rsidRPr="00724525" w:rsidRDefault="00985FCC" w:rsidP="00985FCC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4525">
        <w:rPr>
          <w:rFonts w:ascii="Times New Roman" w:hAnsi="Times New Roman"/>
          <w:sz w:val="24"/>
          <w:szCs w:val="24"/>
        </w:rPr>
        <w:t xml:space="preserve">wolne środki jako nadwyżki środków pieniężnych na rachunku bieżącym budżetu  w wysokości </w:t>
      </w:r>
      <w:r w:rsidR="004A033D">
        <w:rPr>
          <w:rFonts w:ascii="Times New Roman" w:hAnsi="Times New Roman"/>
          <w:b/>
          <w:bCs/>
          <w:sz w:val="24"/>
          <w:szCs w:val="24"/>
        </w:rPr>
        <w:t>3.8</w:t>
      </w:r>
      <w:r>
        <w:rPr>
          <w:rFonts w:ascii="Times New Roman" w:hAnsi="Times New Roman"/>
          <w:b/>
          <w:bCs/>
          <w:sz w:val="24"/>
          <w:szCs w:val="24"/>
        </w:rPr>
        <w:t>76.219,06</w:t>
      </w:r>
      <w:r w:rsidRPr="00724525">
        <w:rPr>
          <w:rFonts w:ascii="Times New Roman" w:hAnsi="Times New Roman"/>
          <w:b/>
          <w:bCs/>
          <w:sz w:val="24"/>
          <w:szCs w:val="24"/>
        </w:rPr>
        <w:t xml:space="preserve"> zł.</w:t>
      </w:r>
    </w:p>
    <w:p w14:paraId="2CF54056" w14:textId="4CD27D9C" w:rsidR="00985FCC" w:rsidRPr="00DA48B6" w:rsidRDefault="00985FCC" w:rsidP="00985F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w</w:t>
      </w:r>
      <w:r w:rsidRPr="00DA48B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DA48B6">
        <w:rPr>
          <w:rFonts w:ascii="Times New Roman" w:hAnsi="Times New Roman"/>
          <w:sz w:val="24"/>
          <w:szCs w:val="24"/>
        </w:rPr>
        <w:t xml:space="preserve"> r. na kwotę rozchodów w wysokości </w:t>
      </w:r>
      <w:r>
        <w:rPr>
          <w:rFonts w:ascii="Times New Roman" w:hAnsi="Times New Roman"/>
          <w:b/>
          <w:sz w:val="24"/>
          <w:szCs w:val="24"/>
        </w:rPr>
        <w:t>1.471.964,12</w:t>
      </w:r>
      <w:r w:rsidRPr="00DA48B6">
        <w:rPr>
          <w:rFonts w:ascii="Times New Roman" w:hAnsi="Times New Roman"/>
          <w:b/>
          <w:sz w:val="24"/>
          <w:szCs w:val="24"/>
        </w:rPr>
        <w:t xml:space="preserve"> zł </w:t>
      </w:r>
      <w:r w:rsidRPr="00DA48B6">
        <w:rPr>
          <w:rFonts w:ascii="Times New Roman" w:hAnsi="Times New Roman"/>
          <w:bCs/>
          <w:sz w:val="24"/>
          <w:szCs w:val="24"/>
        </w:rPr>
        <w:t>składają się:</w:t>
      </w:r>
    </w:p>
    <w:p w14:paraId="57B1FD01" w14:textId="77777777" w:rsidR="00985FCC" w:rsidRPr="00724525" w:rsidRDefault="00985FCC" w:rsidP="00985FCC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4525">
        <w:rPr>
          <w:rFonts w:ascii="Times New Roman" w:hAnsi="Times New Roman"/>
          <w:sz w:val="24"/>
          <w:szCs w:val="24"/>
        </w:rPr>
        <w:t xml:space="preserve">spłata pożyczek w wysokości </w:t>
      </w:r>
      <w:r w:rsidRPr="00724525">
        <w:rPr>
          <w:rFonts w:ascii="Times New Roman" w:hAnsi="Times New Roman"/>
          <w:b/>
          <w:bCs/>
          <w:sz w:val="24"/>
          <w:szCs w:val="24"/>
        </w:rPr>
        <w:t>370.000,00 zł,</w:t>
      </w:r>
    </w:p>
    <w:p w14:paraId="6244006E" w14:textId="77777777" w:rsidR="00985FCC" w:rsidRPr="00724525" w:rsidRDefault="00985FCC" w:rsidP="00985FCC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4525">
        <w:rPr>
          <w:rFonts w:ascii="Times New Roman" w:hAnsi="Times New Roman"/>
          <w:sz w:val="24"/>
          <w:szCs w:val="24"/>
        </w:rPr>
        <w:t xml:space="preserve">spłata kredytów w wysokości </w:t>
      </w:r>
      <w:r>
        <w:rPr>
          <w:rFonts w:ascii="Times New Roman" w:hAnsi="Times New Roman"/>
          <w:b/>
          <w:bCs/>
          <w:sz w:val="24"/>
          <w:szCs w:val="24"/>
        </w:rPr>
        <w:t>1.101.964,12</w:t>
      </w:r>
      <w:r w:rsidRPr="00724525">
        <w:rPr>
          <w:rFonts w:ascii="Times New Roman" w:hAnsi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8EDE32F" w14:textId="423B6003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Kwota długu i obciążenie budżetu z tytułu spłaty przedstawia się w kolejnych latach budżetowych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2020"/>
        <w:gridCol w:w="1984"/>
      </w:tblGrid>
      <w:tr w:rsidR="00283E4C" w:rsidRPr="00283E4C" w14:paraId="73998E35" w14:textId="77777777" w:rsidTr="00693C90">
        <w:trPr>
          <w:trHeight w:val="6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14CC7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B4BCF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długu na koniec roku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7EBAF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Spłaty zadłużenia </w:t>
            </w:r>
          </w:p>
        </w:tc>
      </w:tr>
      <w:tr w:rsidR="00283E4C" w:rsidRPr="00283E4C" w14:paraId="3941E507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18E33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9199D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12 524 704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862C5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1 564 516</w:t>
            </w:r>
          </w:p>
        </w:tc>
      </w:tr>
      <w:tr w:rsidR="00283E4C" w:rsidRPr="00283E4C" w14:paraId="00A4F03E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FFA2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AA544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18 095 574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237A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2 630 857</w:t>
            </w:r>
          </w:p>
        </w:tc>
      </w:tr>
      <w:tr w:rsidR="00283E4C" w:rsidRPr="00283E4C" w14:paraId="0A70523E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3CF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79944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21 859 094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F7534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2 566 480</w:t>
            </w:r>
          </w:p>
        </w:tc>
      </w:tr>
      <w:tr w:rsidR="00283E4C" w:rsidRPr="00283E4C" w14:paraId="467162C1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BBDD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6CEA0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19 292 614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19297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2 566 480</w:t>
            </w:r>
          </w:p>
        </w:tc>
      </w:tr>
      <w:tr w:rsidR="00283E4C" w:rsidRPr="00283E4C" w14:paraId="256D73EF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586D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B0259" w14:textId="175F3E7D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16 509 516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E560" w14:textId="787494BF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2 783 </w:t>
            </w:r>
            <w:r w:rsidR="0069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</w:t>
            </w:r>
          </w:p>
        </w:tc>
      </w:tr>
      <w:tr w:rsidR="00283E4C" w:rsidRPr="00283E4C" w14:paraId="165555BB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56C6A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D217C" w14:textId="7178CA5A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5 042 512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A5902" w14:textId="00A3B54A" w:rsidR="00283E4C" w:rsidRPr="00283E4C" w:rsidRDefault="00693C90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1 471 964</w:t>
            </w:r>
          </w:p>
        </w:tc>
      </w:tr>
      <w:tr w:rsidR="00283E4C" w:rsidRPr="00283E4C" w14:paraId="002CADD0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9CA8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4BBEF" w14:textId="37A418C6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13 714 000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AB709" w14:textId="647E92AE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1 328 512</w:t>
            </w:r>
          </w:p>
        </w:tc>
      </w:tr>
      <w:tr w:rsidR="00283E4C" w:rsidRPr="00283E4C" w14:paraId="18004141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BA5C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E454C" w14:textId="2941B701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12 672 000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54FBA" w14:textId="59991A08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1 042 000</w:t>
            </w:r>
          </w:p>
        </w:tc>
      </w:tr>
      <w:tr w:rsidR="00283E4C" w:rsidRPr="00283E4C" w14:paraId="52777750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144F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C064C" w14:textId="1A183494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A6529" w14:textId="4D62F4CE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2 092 000</w:t>
            </w:r>
          </w:p>
        </w:tc>
      </w:tr>
      <w:tr w:rsidR="00283E4C" w:rsidRPr="00283E4C" w14:paraId="7A3B3799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125A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1E747" w14:textId="2C687FF6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26DCD" w14:textId="2280E6FB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2 050 000</w:t>
            </w:r>
          </w:p>
        </w:tc>
      </w:tr>
      <w:tr w:rsidR="00283E4C" w:rsidRPr="00283E4C" w14:paraId="66A6A74F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D886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F74E9" w14:textId="3299C388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4B529" w14:textId="11062138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2 100 000</w:t>
            </w:r>
          </w:p>
        </w:tc>
      </w:tr>
      <w:tr w:rsidR="00283E4C" w:rsidRPr="00283E4C" w14:paraId="01EB6E47" w14:textId="77777777" w:rsidTr="00693C9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6221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A556B" w14:textId="50F0909B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BC402" w14:textId="2FDC9001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2 500 000</w:t>
            </w:r>
          </w:p>
        </w:tc>
      </w:tr>
      <w:tr w:rsidR="00283E4C" w:rsidRPr="00283E4C" w14:paraId="6ED1F0D3" w14:textId="77777777" w:rsidTr="00693C90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3C7C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73EB6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D988B" w14:textId="64315D84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1 930 000</w:t>
            </w:r>
          </w:p>
        </w:tc>
      </w:tr>
      <w:tr w:rsidR="00283E4C" w:rsidRPr="00283E4C" w14:paraId="24A676AA" w14:textId="77777777" w:rsidTr="00693C90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B0E3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EAD0A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1116E" w14:textId="167AFE55" w:rsidR="00283E4C" w:rsidRPr="00DA5650" w:rsidRDefault="00283E4C" w:rsidP="00DA5650">
            <w:pPr>
              <w:pStyle w:val="Akapitzlist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000 000</w:t>
            </w:r>
          </w:p>
        </w:tc>
      </w:tr>
    </w:tbl>
    <w:p w14:paraId="5CBA8FED" w14:textId="520C2576" w:rsidR="00BC53DC" w:rsidRDefault="00BC53DC" w:rsidP="00BC5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5BA4B" w14:textId="77777777" w:rsidR="00BC53DC" w:rsidRPr="00BC53DC" w:rsidRDefault="00BC53DC" w:rsidP="00BC5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A2185" w14:textId="6FAC8FB3" w:rsidR="00B905C7" w:rsidRPr="00693C90" w:rsidRDefault="00B905C7" w:rsidP="00BC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ustawą z dnia 14 grudnia 2018 r. o zmianie ustawy o finansach publicznych oraz niektórych innych ustaw (Dz.U. z 2018 r., poz. 2500), od 2020 r</w:t>
      </w:r>
      <w:r w:rsidR="003622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obowiązuje nowy wskaźnik zadłużenia. Ustalana na lata 2020 – 2025 relacja łącznej kwoty przypadających w danym roku budżetowym spłat i wykupów określonych w </w:t>
      </w:r>
      <w:r w:rsidR="00C31F34">
        <w:rPr>
          <w:rFonts w:ascii="Times New Roman" w:hAnsi="Times New Roman" w:cs="Times New Roman"/>
          <w:color w:val="000000"/>
          <w:sz w:val="24"/>
          <w:szCs w:val="24"/>
        </w:rPr>
        <w:t xml:space="preserve">art.243 ust. 1 ustawy o finansach publicznych </w:t>
      </w:r>
      <w:r w:rsidR="003622BD">
        <w:rPr>
          <w:rFonts w:ascii="Times New Roman" w:hAnsi="Times New Roman" w:cs="Times New Roman"/>
          <w:color w:val="000000"/>
          <w:sz w:val="24"/>
          <w:szCs w:val="24"/>
        </w:rPr>
        <w:t xml:space="preserve">do planowanych dochodów bieżących budżetu nie może przekroczyć średniej arytmetycznej z obliczonych dla ostatnich trzech lat relacji dochodów </w:t>
      </w:r>
      <w:r w:rsidR="003622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bieżących powiększonych o dochody ze sprzedaży majątku oraz pomniejszonych o wydatki bieżące do dochodów bieżących budżetu. Na podstawie art. 9 ust. 1 ww. ustawy, ustalana na lata 2022 – 2025 relacja </w:t>
      </w:r>
      <w:r w:rsidR="00693C90">
        <w:rPr>
          <w:rFonts w:ascii="Times New Roman" w:hAnsi="Times New Roman" w:cs="Times New Roman"/>
          <w:color w:val="000000"/>
          <w:sz w:val="24"/>
          <w:szCs w:val="24"/>
        </w:rPr>
        <w:t>łącznej kwoty przypadających w danym roku budżetowym spłat i wykupów określonych w art. 243 ust. 1 ustawy zmienianej ar</w:t>
      </w:r>
      <w:r w:rsidR="00E50C3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93C90">
        <w:rPr>
          <w:rFonts w:ascii="Times New Roman" w:hAnsi="Times New Roman" w:cs="Times New Roman"/>
          <w:color w:val="000000"/>
          <w:sz w:val="24"/>
          <w:szCs w:val="24"/>
        </w:rPr>
        <w:t xml:space="preserve">. 1, w brzmieniu nadanym niniejszą ustawą, do planowanych dochodów bieżących budżetu </w:t>
      </w:r>
      <w:r w:rsidR="00693C90" w:rsidRPr="00693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może przekroczyć średniej arytmetycznej z obliczonych dla ostatnich trzech albo siedmiu lat</w:t>
      </w:r>
      <w:r w:rsidR="00693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3C90">
        <w:rPr>
          <w:rFonts w:ascii="Times New Roman" w:hAnsi="Times New Roman" w:cs="Times New Roman"/>
          <w:color w:val="000000"/>
          <w:sz w:val="24"/>
          <w:szCs w:val="24"/>
        </w:rPr>
        <w:t>relacji dochodów bieżących powiększonych o dochody ze sprzedaży majątku oraz pomniejszonych o</w:t>
      </w:r>
      <w:r w:rsidR="00BC53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93C90">
        <w:rPr>
          <w:rFonts w:ascii="Times New Roman" w:hAnsi="Times New Roman" w:cs="Times New Roman"/>
          <w:color w:val="000000"/>
          <w:sz w:val="24"/>
          <w:szCs w:val="24"/>
        </w:rPr>
        <w:t>wydatki bieżące do dochodów bieżących budżetu</w:t>
      </w:r>
      <w:r w:rsidR="003C4527">
        <w:rPr>
          <w:rFonts w:ascii="Times New Roman" w:hAnsi="Times New Roman" w:cs="Times New Roman"/>
          <w:color w:val="000000"/>
          <w:sz w:val="24"/>
          <w:szCs w:val="24"/>
        </w:rPr>
        <w:t>. Wyboru długości okresu stosowanego do wyliczenia relacji dokonuje organ wykonawczy jednostki samorządu terytorialnego do dnia 31 grudnia 2021 r. i</w:t>
      </w:r>
      <w:r w:rsidR="00BC53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C4527">
        <w:rPr>
          <w:rFonts w:ascii="Times New Roman" w:hAnsi="Times New Roman" w:cs="Times New Roman"/>
          <w:color w:val="000000"/>
          <w:sz w:val="24"/>
          <w:szCs w:val="24"/>
        </w:rPr>
        <w:t>informuje o wyborze właściwą regionalną izbę obrachunkową oraz organ stanowiący tej jednostki.</w:t>
      </w:r>
    </w:p>
    <w:sectPr w:rsidR="00B905C7" w:rsidRPr="00693C90" w:rsidSect="001A3917">
      <w:pgSz w:w="12240" w:h="15840"/>
      <w:pgMar w:top="1418" w:right="1021" w:bottom="1021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6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7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AB4C042E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94103"/>
    <w:multiLevelType w:val="hybridMultilevel"/>
    <w:tmpl w:val="941C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7BD2"/>
    <w:multiLevelType w:val="hybridMultilevel"/>
    <w:tmpl w:val="15E68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B2F2E"/>
    <w:multiLevelType w:val="hybridMultilevel"/>
    <w:tmpl w:val="580A0C2A"/>
    <w:lvl w:ilvl="0" w:tplc="FD2044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14C3"/>
    <w:multiLevelType w:val="hybridMultilevel"/>
    <w:tmpl w:val="6EE0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0824"/>
    <w:multiLevelType w:val="hybridMultilevel"/>
    <w:tmpl w:val="051A2A62"/>
    <w:lvl w:ilvl="0" w:tplc="5AB08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E2E"/>
    <w:multiLevelType w:val="hybridMultilevel"/>
    <w:tmpl w:val="941C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1EBD"/>
    <w:multiLevelType w:val="hybridMultilevel"/>
    <w:tmpl w:val="D0CCBDB0"/>
    <w:lvl w:ilvl="0" w:tplc="78803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BF4"/>
    <w:multiLevelType w:val="hybridMultilevel"/>
    <w:tmpl w:val="C76A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167E7"/>
    <w:multiLevelType w:val="hybridMultilevel"/>
    <w:tmpl w:val="A5A0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2788"/>
    <w:multiLevelType w:val="hybridMultilevel"/>
    <w:tmpl w:val="EABE3FA2"/>
    <w:lvl w:ilvl="0" w:tplc="32A65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A5694"/>
    <w:multiLevelType w:val="hybridMultilevel"/>
    <w:tmpl w:val="8D28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46BB"/>
    <w:multiLevelType w:val="hybridMultilevel"/>
    <w:tmpl w:val="A6BA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1944"/>
    <w:multiLevelType w:val="hybridMultilevel"/>
    <w:tmpl w:val="D784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330"/>
    <w:multiLevelType w:val="hybridMultilevel"/>
    <w:tmpl w:val="9E82668A"/>
    <w:lvl w:ilvl="0" w:tplc="0415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E6A7E"/>
    <w:multiLevelType w:val="hybridMultilevel"/>
    <w:tmpl w:val="DEDC385C"/>
    <w:lvl w:ilvl="0" w:tplc="E77883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81AC9"/>
    <w:multiLevelType w:val="hybridMultilevel"/>
    <w:tmpl w:val="14347EAA"/>
    <w:lvl w:ilvl="0" w:tplc="819C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47479"/>
    <w:multiLevelType w:val="hybridMultilevel"/>
    <w:tmpl w:val="A15CF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418CE"/>
    <w:multiLevelType w:val="hybridMultilevel"/>
    <w:tmpl w:val="9ED004A2"/>
    <w:lvl w:ilvl="0" w:tplc="AB7A1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D564C2"/>
    <w:multiLevelType w:val="hybridMultilevel"/>
    <w:tmpl w:val="317CD578"/>
    <w:lvl w:ilvl="0" w:tplc="EAE87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C27C6"/>
    <w:multiLevelType w:val="hybridMultilevel"/>
    <w:tmpl w:val="AF34CC9C"/>
    <w:lvl w:ilvl="0" w:tplc="24821C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33D19"/>
    <w:multiLevelType w:val="hybridMultilevel"/>
    <w:tmpl w:val="EC74E1EC"/>
    <w:lvl w:ilvl="0" w:tplc="A69EA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15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16"/>
  </w:num>
  <w:num w:numId="16">
    <w:abstractNumId w:val="2"/>
  </w:num>
  <w:num w:numId="17">
    <w:abstractNumId w:val="4"/>
  </w:num>
  <w:num w:numId="18">
    <w:abstractNumId w:val="17"/>
  </w:num>
  <w:num w:numId="19">
    <w:abstractNumId w:val="22"/>
  </w:num>
  <w:num w:numId="20">
    <w:abstractNumId w:val="20"/>
  </w:num>
  <w:num w:numId="21">
    <w:abstractNumId w:val="10"/>
  </w:num>
  <w:num w:numId="22">
    <w:abstractNumId w:val="1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7E"/>
    <w:rsid w:val="00027EB0"/>
    <w:rsid w:val="00063FC0"/>
    <w:rsid w:val="00077CFF"/>
    <w:rsid w:val="000B4AF2"/>
    <w:rsid w:val="000C6D49"/>
    <w:rsid w:val="00122648"/>
    <w:rsid w:val="001819F8"/>
    <w:rsid w:val="00185064"/>
    <w:rsid w:val="0019513C"/>
    <w:rsid w:val="001A3917"/>
    <w:rsid w:val="001D22C1"/>
    <w:rsid w:val="001E13CB"/>
    <w:rsid w:val="001F4382"/>
    <w:rsid w:val="00227613"/>
    <w:rsid w:val="00232378"/>
    <w:rsid w:val="00250A99"/>
    <w:rsid w:val="002527C3"/>
    <w:rsid w:val="00262385"/>
    <w:rsid w:val="00273CFD"/>
    <w:rsid w:val="00280A34"/>
    <w:rsid w:val="00281CB3"/>
    <w:rsid w:val="00283E4C"/>
    <w:rsid w:val="002B4A45"/>
    <w:rsid w:val="002E21F2"/>
    <w:rsid w:val="003021AB"/>
    <w:rsid w:val="00315E9C"/>
    <w:rsid w:val="003266AC"/>
    <w:rsid w:val="003622BD"/>
    <w:rsid w:val="003937C1"/>
    <w:rsid w:val="003A087C"/>
    <w:rsid w:val="003C4527"/>
    <w:rsid w:val="0041092C"/>
    <w:rsid w:val="0041675B"/>
    <w:rsid w:val="0042315B"/>
    <w:rsid w:val="00453C37"/>
    <w:rsid w:val="00481617"/>
    <w:rsid w:val="004A033D"/>
    <w:rsid w:val="004B78E4"/>
    <w:rsid w:val="004C3065"/>
    <w:rsid w:val="004C6C51"/>
    <w:rsid w:val="005030EA"/>
    <w:rsid w:val="005371EB"/>
    <w:rsid w:val="00542BF1"/>
    <w:rsid w:val="005B607C"/>
    <w:rsid w:val="005C6947"/>
    <w:rsid w:val="005F067A"/>
    <w:rsid w:val="00632B60"/>
    <w:rsid w:val="00633D7E"/>
    <w:rsid w:val="00693C90"/>
    <w:rsid w:val="006D2C0F"/>
    <w:rsid w:val="006F6B1D"/>
    <w:rsid w:val="00704F2B"/>
    <w:rsid w:val="00753FB0"/>
    <w:rsid w:val="00796877"/>
    <w:rsid w:val="007B05A5"/>
    <w:rsid w:val="007C4D44"/>
    <w:rsid w:val="007F1D18"/>
    <w:rsid w:val="00812E8E"/>
    <w:rsid w:val="00814A75"/>
    <w:rsid w:val="00820E1F"/>
    <w:rsid w:val="008302A6"/>
    <w:rsid w:val="00836567"/>
    <w:rsid w:val="00871620"/>
    <w:rsid w:val="0087188F"/>
    <w:rsid w:val="00874EE2"/>
    <w:rsid w:val="00882B89"/>
    <w:rsid w:val="008A085D"/>
    <w:rsid w:val="008D728D"/>
    <w:rsid w:val="00904BDB"/>
    <w:rsid w:val="00924A78"/>
    <w:rsid w:val="009749B4"/>
    <w:rsid w:val="00985FCC"/>
    <w:rsid w:val="00997318"/>
    <w:rsid w:val="009B578A"/>
    <w:rsid w:val="009B66B0"/>
    <w:rsid w:val="009E469C"/>
    <w:rsid w:val="00A152AA"/>
    <w:rsid w:val="00A21B7A"/>
    <w:rsid w:val="00A25EEE"/>
    <w:rsid w:val="00A62E96"/>
    <w:rsid w:val="00A82706"/>
    <w:rsid w:val="00A86617"/>
    <w:rsid w:val="00AC60E1"/>
    <w:rsid w:val="00B207C2"/>
    <w:rsid w:val="00B3653D"/>
    <w:rsid w:val="00B905C7"/>
    <w:rsid w:val="00BA1649"/>
    <w:rsid w:val="00BC53DC"/>
    <w:rsid w:val="00BE0480"/>
    <w:rsid w:val="00BE342F"/>
    <w:rsid w:val="00C31F34"/>
    <w:rsid w:val="00C563A1"/>
    <w:rsid w:val="00C67A7E"/>
    <w:rsid w:val="00C72069"/>
    <w:rsid w:val="00C7768E"/>
    <w:rsid w:val="00C957E9"/>
    <w:rsid w:val="00CB02D2"/>
    <w:rsid w:val="00CB1A9E"/>
    <w:rsid w:val="00CC4196"/>
    <w:rsid w:val="00CF7418"/>
    <w:rsid w:val="00D33A34"/>
    <w:rsid w:val="00D55596"/>
    <w:rsid w:val="00D65FDC"/>
    <w:rsid w:val="00D6705D"/>
    <w:rsid w:val="00D90867"/>
    <w:rsid w:val="00D93D97"/>
    <w:rsid w:val="00DA5650"/>
    <w:rsid w:val="00DC48EC"/>
    <w:rsid w:val="00DD040D"/>
    <w:rsid w:val="00E24155"/>
    <w:rsid w:val="00E448DB"/>
    <w:rsid w:val="00E50C3E"/>
    <w:rsid w:val="00E52AE7"/>
    <w:rsid w:val="00E72AE0"/>
    <w:rsid w:val="00ED1469"/>
    <w:rsid w:val="00EE5234"/>
    <w:rsid w:val="00EF735E"/>
    <w:rsid w:val="00EF7DB0"/>
    <w:rsid w:val="00F0170E"/>
    <w:rsid w:val="00F244C8"/>
    <w:rsid w:val="00F31D40"/>
    <w:rsid w:val="00F43957"/>
    <w:rsid w:val="00F81073"/>
    <w:rsid w:val="00F83E4E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6A8E"/>
  <w15:docId w15:val="{33D41862-A15F-4D86-BFB0-11D902B4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33D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33D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52</cp:revision>
  <cp:lastPrinted>2021-11-22T11:11:00Z</cp:lastPrinted>
  <dcterms:created xsi:type="dcterms:W3CDTF">2020-05-19T13:23:00Z</dcterms:created>
  <dcterms:modified xsi:type="dcterms:W3CDTF">2021-12-20T11:49:00Z</dcterms:modified>
</cp:coreProperties>
</file>